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CA758E" w:rsidRPr="004C2970" w:rsidRDefault="00A75AB9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>Granulat o doskonałych właściwościach rozpuszczających brud. Przeznaczony do czyszczenia tekstylnych wykładzin dywanowych (syntetycznych i naturalnych), idealny do pokryć wrażliwych na wilgoć. Podłoże można w trakcie użytkować. Środek powodujący niewielkie pylenie.</w:t>
      </w:r>
    </w:p>
    <w:p w:rsidR="00CA758E" w:rsidRPr="004C2970" w:rsidRDefault="00CA758E">
      <w:pPr>
        <w:pStyle w:val="Tekstpodstawowy"/>
        <w:spacing w:before="7"/>
        <w:rPr>
          <w:sz w:val="18"/>
          <w:lang w:val="pl-PL"/>
        </w:rPr>
      </w:pPr>
    </w:p>
    <w:p w:rsidR="00D800A1" w:rsidRDefault="00D800A1">
      <w:pPr>
        <w:pStyle w:val="Nagwek1"/>
        <w:rPr>
          <w:color w:val="FFFFFF" w:themeColor="background1"/>
          <w:shd w:val="clear" w:color="auto" w:fill="005293"/>
          <w:lang w:val="pl-PL"/>
        </w:rPr>
      </w:pPr>
    </w:p>
    <w:p w:rsidR="00CA758E" w:rsidRPr="004C2970" w:rsidRDefault="00D07F7C">
      <w:pPr>
        <w:pStyle w:val="Nagwek1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30642D" w:rsidRDefault="00A75AB9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 xml:space="preserve">Nadaje się do wykładzin welurowych wykonanych ze wszystkich rodzajów włókien syntetycznych do głębokości 10mm oraz krótkiej pętli. Nie nadaje się do wykładzin z grubej pętli, sztyftów i naturalnych podłóg wykonanych z orzecha kokosowego, juty, trawy morskiej, słomy ryżowej, papieru i bawełny. Aplikacja na igłowanej posadzce z włókniny, berberiu, czystej nowej wełnie i sizalu możliwa w zależności od posadzki i przedmiotu i powinna być wcześniej sprawdzona w odpowiednim miejscu lub omówiona z naszym działem doradztwa technicznego. </w:t>
      </w:r>
    </w:p>
    <w:p w:rsidR="003902F3" w:rsidRPr="004C2970" w:rsidRDefault="003902F3" w:rsidP="00D800A1">
      <w:pPr>
        <w:pStyle w:val="Tekstpodstawowy"/>
        <w:spacing w:before="115"/>
        <w:ind w:right="246" w:firstLine="720"/>
        <w:jc w:val="both"/>
        <w:rPr>
          <w:lang w:val="pl-PL"/>
        </w:rPr>
      </w:pPr>
      <w:r>
        <w:rPr>
          <w:lang w:val="pl-PL"/>
        </w:rPr>
        <w:t>Prosimy zwrócić uwagę na nasze zalecenia techniczne dot. podłóg i budynków na stronie www.dr-schutz.com.</w:t>
      </w:r>
    </w:p>
    <w:p w:rsidR="00D800A1" w:rsidRDefault="00D800A1">
      <w:pPr>
        <w:pStyle w:val="Nagwek1"/>
        <w:spacing w:before="162"/>
        <w:rPr>
          <w:color w:val="FFFFFF" w:themeColor="background1"/>
          <w:shd w:val="clear" w:color="auto" w:fill="005293"/>
          <w:lang w:val="pl-PL"/>
        </w:rPr>
      </w:pPr>
    </w:p>
    <w:p w:rsidR="00CA758E" w:rsidRPr="004C2970" w:rsidRDefault="00AC7F31">
      <w:pPr>
        <w:pStyle w:val="Nagwek1"/>
        <w:spacing w:before="162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04802" w:rsidRDefault="00E04802" w:rsidP="00E04802">
      <w:pPr>
        <w:ind w:left="720"/>
        <w:jc w:val="both"/>
        <w:rPr>
          <w:lang w:val="pl-PL"/>
        </w:rPr>
      </w:pPr>
    </w:p>
    <w:p w:rsidR="00B01269" w:rsidRDefault="003A4301" w:rsidP="00B01269">
      <w:pPr>
        <w:ind w:left="720"/>
        <w:jc w:val="both"/>
        <w:rPr>
          <w:lang w:val="pl-PL"/>
        </w:rPr>
      </w:pPr>
      <w:r>
        <w:rPr>
          <w:lang w:val="pl-PL"/>
        </w:rPr>
        <w:t>Odkurzyć dokładnie wykładzinę odkurzaczem szczotkowym (np. odkurzaczem Tebo Brush). Spryskać plamy oraz silne zabrudzenia Fresh Up’</w:t>
      </w:r>
      <w:r w:rsidR="008D1B32">
        <w:rPr>
          <w:lang w:val="pl-PL"/>
        </w:rPr>
        <w:t>em 2 w 1 – nie przemaczać. Należy dokładnie wymieszać granulat Carpetlife z granulkami Tebo-Active i równomiernie rozprowadzić po całej powierzchni. Wmasować granulat przy użyciu odkurzacza z obracającymi się przeciwlegle szczotkami (np. Multi Clean 350) – twardość szczotek należy dopasować do podłoża wg zaleceń producenta maszyny. Zalecamy pracowanie sekcjami. Po pozostawieniu granulatu do całkowitego wyschnięcia (ok. 1 godziny)</w:t>
      </w:r>
      <w:r w:rsidR="00ED4C32">
        <w:rPr>
          <w:lang w:val="pl-PL"/>
        </w:rPr>
        <w:t xml:space="preserve"> należy zebrać granulki z brudem przy pomocy odkurzacza szczotkowego. Upewnić się, że pojemnik na kurz jest wymieniany z odpowiednią częstotliwością. W przypadku silnych zabrudzeń można czynność czyszczenia powtórzyć kilkukrotnie, aż do uzyskania zadowalającego efektu. Uporczywe plamy należy usunąć przy pomocy odpowiedniego odplamiacza.</w:t>
      </w:r>
    </w:p>
    <w:p w:rsidR="00D800A1" w:rsidRDefault="00D800A1" w:rsidP="00B01269">
      <w:pPr>
        <w:ind w:left="720"/>
        <w:jc w:val="both"/>
        <w:rPr>
          <w:b/>
          <w:u w:val="single"/>
          <w:lang w:val="pl-PL"/>
        </w:rPr>
      </w:pPr>
    </w:p>
    <w:p w:rsidR="00ED4C32" w:rsidRDefault="00ED4C32" w:rsidP="00B01269">
      <w:pPr>
        <w:ind w:left="720"/>
        <w:jc w:val="both"/>
        <w:rPr>
          <w:b/>
          <w:u w:val="single"/>
          <w:lang w:val="pl-PL"/>
        </w:rPr>
      </w:pPr>
      <w:r w:rsidRPr="00ED4C32">
        <w:rPr>
          <w:b/>
          <w:u w:val="single"/>
          <w:lang w:val="pl-PL"/>
        </w:rPr>
        <w:t>Podczas czyszczenia następujących wykładzin należy przestrzegać specjalnych procedur:</w:t>
      </w:r>
    </w:p>
    <w:p w:rsidR="00ED4C32" w:rsidRDefault="00ED4C32" w:rsidP="00ED4C32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Podłogi z wykładzin igłowanych oraz sizalu:</w:t>
      </w:r>
    </w:p>
    <w:p w:rsidR="00ED4C32" w:rsidRDefault="00ED4C32" w:rsidP="00ED4C32">
      <w:pPr>
        <w:pStyle w:val="Akapitzlist"/>
        <w:ind w:left="1440"/>
        <w:jc w:val="both"/>
        <w:rPr>
          <w:lang w:val="pl-PL"/>
        </w:rPr>
      </w:pPr>
      <w:r>
        <w:rPr>
          <w:lang w:val="pl-PL"/>
        </w:rPr>
        <w:t>- Nie stosować sprayu Fresh Up 2 w 1 do wstępnego czyszczenia.</w:t>
      </w:r>
    </w:p>
    <w:p w:rsidR="00ED4C32" w:rsidRPr="00ED4C32" w:rsidRDefault="00ED4C32" w:rsidP="00ED4C32">
      <w:pPr>
        <w:pStyle w:val="Akapitzlist"/>
        <w:ind w:left="1440"/>
        <w:jc w:val="both"/>
        <w:rPr>
          <w:lang w:val="pl-PL"/>
        </w:rPr>
      </w:pPr>
      <w:r>
        <w:rPr>
          <w:lang w:val="pl-PL"/>
        </w:rPr>
        <w:t>- Przy kolejnych czyszczeniach granulat aplikować oszczędnie na wszelkie zabrudzenia po czyszczeniu odkurzaczem szczotkowym.</w:t>
      </w:r>
    </w:p>
    <w:p w:rsidR="00B01269" w:rsidRDefault="00D800A1" w:rsidP="00D800A1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Podłogi z wykładzin berberyjskich oraz miękkie welurowe:</w:t>
      </w:r>
    </w:p>
    <w:p w:rsidR="00D800A1" w:rsidRDefault="00D800A1" w:rsidP="00D800A1">
      <w:pPr>
        <w:pStyle w:val="Akapitzlist"/>
        <w:ind w:left="1440"/>
        <w:jc w:val="both"/>
        <w:rPr>
          <w:lang w:val="pl-PL"/>
        </w:rPr>
      </w:pPr>
      <w:r>
        <w:rPr>
          <w:lang w:val="pl-PL"/>
        </w:rPr>
        <w:t>- Odkurzaczem szczotkowym należy pracować tylko w kierunku pętli lub włókien (nie w kierunku wzdłużnym lub w poprzek)</w:t>
      </w:r>
    </w:p>
    <w:p w:rsidR="00D800A1" w:rsidRDefault="00D800A1" w:rsidP="00D800A1">
      <w:pPr>
        <w:jc w:val="both"/>
        <w:rPr>
          <w:lang w:val="pl-PL"/>
        </w:rPr>
      </w:pPr>
      <w:r>
        <w:rPr>
          <w:lang w:val="pl-PL"/>
        </w:rPr>
        <w:tab/>
      </w:r>
    </w:p>
    <w:p w:rsidR="00D800A1" w:rsidRDefault="00D800A1" w:rsidP="00D800A1">
      <w:pPr>
        <w:ind w:left="720" w:firstLine="102"/>
        <w:jc w:val="both"/>
        <w:rPr>
          <w:lang w:val="pl-PL"/>
        </w:rPr>
      </w:pPr>
      <w:r>
        <w:rPr>
          <w:lang w:val="pl-PL"/>
        </w:rPr>
        <w:t>Przed rozpoczęciem czyszczenia należy sprawdzić wykładzinę pod względem trwałości kolorów i wytrzymałość materiału, a także możliwość użycia odkurzacza szczotkowego.</w:t>
      </w:r>
    </w:p>
    <w:p w:rsidR="00D800A1" w:rsidRPr="00D800A1" w:rsidRDefault="00D800A1" w:rsidP="00D800A1">
      <w:pPr>
        <w:jc w:val="both"/>
        <w:rPr>
          <w:lang w:val="pl-PL"/>
        </w:rPr>
      </w:pPr>
    </w:p>
    <w:p w:rsidR="00D800A1" w:rsidRDefault="00D800A1" w:rsidP="00B01269">
      <w:pPr>
        <w:pStyle w:val="Nagwek1"/>
        <w:spacing w:before="182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B01269">
      <w:pPr>
        <w:pStyle w:val="Nagwek1"/>
        <w:spacing w:before="182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lastRenderedPageBreak/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B01269" w:rsidRDefault="00B01269" w:rsidP="00B01269">
      <w:pPr>
        <w:pStyle w:val="Tekstpodstawowy"/>
        <w:ind w:left="736"/>
        <w:rPr>
          <w:lang w:val="pl-PL"/>
        </w:rPr>
      </w:pPr>
    </w:p>
    <w:p w:rsidR="00283BF7" w:rsidRPr="00CB56D2" w:rsidRDefault="001F1543" w:rsidP="001F1543">
      <w:pPr>
        <w:pStyle w:val="Tekstpodstawowy"/>
        <w:ind w:left="736"/>
        <w:rPr>
          <w:sz w:val="22"/>
          <w:lang w:val="pl-PL"/>
        </w:rPr>
      </w:pPr>
      <w:r>
        <w:rPr>
          <w:sz w:val="22"/>
        </w:rPr>
        <w:t xml:space="preserve">Ok. 50-75gl/m² </w:t>
      </w:r>
      <w:r w:rsidR="00683643" w:rsidRPr="00CB56D2">
        <w:rPr>
          <w:sz w:val="22"/>
        </w:rPr>
        <w:t xml:space="preserve"> w </w:t>
      </w:r>
      <w:r>
        <w:rPr>
          <w:sz w:val="22"/>
        </w:rPr>
        <w:t>zależności od stopnia zabrudzenia wykładziny.</w:t>
      </w:r>
    </w:p>
    <w:p w:rsidR="00CB56D2" w:rsidRPr="00CB56D2" w:rsidRDefault="00CB56D2" w:rsidP="00CB56D2">
      <w:pPr>
        <w:pStyle w:val="Tekstpodstawowy"/>
        <w:spacing w:before="3"/>
        <w:ind w:firstLine="102"/>
        <w:rPr>
          <w:sz w:val="32"/>
          <w:lang w:val="pl-PL"/>
        </w:rPr>
      </w:pPr>
    </w:p>
    <w:p w:rsidR="00B01269" w:rsidRPr="004C2970" w:rsidRDefault="001F1543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163478" w:rsidRPr="00283BF7" w:rsidRDefault="001F1543" w:rsidP="00283BF7">
      <w:pPr>
        <w:pStyle w:val="Tekstpodstawowy"/>
        <w:spacing w:before="113"/>
        <w:ind w:left="736"/>
        <w:jc w:val="both"/>
        <w:rPr>
          <w:lang w:val="pl-PL"/>
        </w:rPr>
      </w:pPr>
      <w:r>
        <w:rPr>
          <w:lang w:val="pl-PL"/>
        </w:rPr>
        <w:t>Granulat Carpetlife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powinien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być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magazynowany w suchym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i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chłodnym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miejscu w szczelnie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zamkniętym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 xml:space="preserve">opakowaniu. </w:t>
      </w:r>
      <w:r w:rsidR="00B352EB">
        <w:rPr>
          <w:lang w:val="pl-PL"/>
        </w:rPr>
        <w:t>Produkt należy przechowywać w miejs</w:t>
      </w:r>
      <w:r>
        <w:rPr>
          <w:lang w:val="pl-PL"/>
        </w:rPr>
        <w:t xml:space="preserve">cu niedostępnym dla dzieci. </w:t>
      </w:r>
    </w:p>
    <w:p w:rsidR="00D800A1" w:rsidRDefault="00D800A1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B01269">
      <w:pPr>
        <w:pStyle w:val="Nagwek1"/>
        <w:spacing w:before="114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1F1543">
        <w:rPr>
          <w:color w:val="FFFFFF" w:themeColor="background1"/>
          <w:shd w:val="clear" w:color="auto" w:fill="005293"/>
          <w:lang w:val="pl-PL"/>
        </w:rPr>
        <w:t>6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Default="00B01269" w:rsidP="003902F3">
      <w:pPr>
        <w:pStyle w:val="Tekstpodstawowy"/>
        <w:ind w:left="736"/>
        <w:jc w:val="both"/>
        <w:rPr>
          <w:lang w:val="pl-PL"/>
        </w:rPr>
      </w:pPr>
      <w:r w:rsidRPr="004C2970">
        <w:rPr>
          <w:lang w:val="pl-PL"/>
        </w:rPr>
        <w:t xml:space="preserve">Skład: </w:t>
      </w:r>
      <w:r w:rsidR="009C667F">
        <w:rPr>
          <w:lang w:val="pl-PL"/>
        </w:rPr>
        <w:t>zawiera poniżej 5% anionowych tensydów, poniżej 5% niejonowych tensydów. Zawiera metylochloroizotiazolinony, metyloizotiazolinony, oktyloizotiazolinony, związki zapachowe, rozpuszczalniki, celulozę.</w:t>
      </w:r>
    </w:p>
    <w:p w:rsidR="00163478" w:rsidRPr="00163478" w:rsidRDefault="009C667F" w:rsidP="00163478">
      <w:pPr>
        <w:pStyle w:val="Tekstpodstawowy"/>
        <w:ind w:left="736"/>
        <w:jc w:val="both"/>
        <w:rPr>
          <w:lang w:val="pl-PL"/>
        </w:rPr>
      </w:pPr>
      <w:r>
        <w:rPr>
          <w:lang w:val="pl-PL"/>
        </w:rPr>
        <w:t>pH: ok. 7 (10% w wodzie)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 xml:space="preserve">ADR / RID: nie jest towarem niebezpiecznym zgodnie z przepisami </w:t>
      </w:r>
      <w:r w:rsidR="009C667F">
        <w:rPr>
          <w:lang w:val="pl-PL"/>
        </w:rPr>
        <w:t>transportowymi</w:t>
      </w:r>
      <w:r w:rsidRPr="00163478">
        <w:rPr>
          <w:lang w:val="pl-PL"/>
        </w:rPr>
        <w:t>.</w:t>
      </w:r>
    </w:p>
    <w:p w:rsidR="00163478" w:rsidRDefault="009C667F" w:rsidP="00163478">
      <w:pPr>
        <w:pStyle w:val="Tekstpodstawowy"/>
        <w:ind w:left="736"/>
        <w:jc w:val="both"/>
        <w:rPr>
          <w:lang w:val="pl-PL"/>
        </w:rPr>
      </w:pPr>
      <w:r>
        <w:rPr>
          <w:lang w:val="pl-PL"/>
        </w:rPr>
        <w:t xml:space="preserve">CLP </w:t>
      </w:r>
      <w:r w:rsidR="00163478" w:rsidRPr="00163478">
        <w:rPr>
          <w:lang w:val="pl-PL"/>
        </w:rPr>
        <w:t>: etykietowanie nie jest konieczne.</w:t>
      </w:r>
    </w:p>
    <w:p w:rsidR="009C667F" w:rsidRPr="00163478" w:rsidRDefault="009C667F" w:rsidP="00163478">
      <w:pPr>
        <w:pStyle w:val="Tekstpodstawowy"/>
        <w:ind w:left="736"/>
        <w:jc w:val="both"/>
        <w:rPr>
          <w:lang w:val="pl-PL"/>
        </w:rPr>
      </w:pPr>
      <w:r>
        <w:rPr>
          <w:lang w:val="pl-PL"/>
        </w:rPr>
        <w:t xml:space="preserve">EUH208 zawiera: </w:t>
      </w:r>
      <w:r>
        <w:t xml:space="preserve">2-octyl-2H-isothiazol-3-one, </w:t>
      </w:r>
      <w:r w:rsidR="00EF7E17">
        <w:t>, 5-chloro-2-methyl-2H-isothiazol-3-one. Może wywoływać reakcje alergiczne.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>Opróżnione kanistry mogą być wyrzucane do śmieci z gospodarstw domowych lub transportowane do centrum recyklingu.</w:t>
      </w:r>
    </w:p>
    <w:p w:rsidR="00163478" w:rsidRDefault="00163478" w:rsidP="00EF7E17">
      <w:pPr>
        <w:pStyle w:val="Tekstpodstawowy"/>
        <w:jc w:val="both"/>
        <w:rPr>
          <w:lang w:val="pl-PL"/>
        </w:rPr>
      </w:pPr>
    </w:p>
    <w:p w:rsidR="00163478" w:rsidRDefault="00163478" w:rsidP="00163478">
      <w:pPr>
        <w:pStyle w:val="Tekstpodstawowy"/>
        <w:rPr>
          <w:lang w:val="pl-PL"/>
        </w:rPr>
      </w:pPr>
    </w:p>
    <w:p w:rsidR="00CE3C9B" w:rsidRPr="00163478" w:rsidRDefault="00163478" w:rsidP="00163478">
      <w:pPr>
        <w:pStyle w:val="Tekstpodstawowy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EF7E17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7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CA758E" w:rsidRPr="004C2970" w:rsidRDefault="00080F77">
      <w:pPr>
        <w:pStyle w:val="Tekstpodstawowy"/>
        <w:spacing w:before="114"/>
        <w:ind w:left="758"/>
        <w:rPr>
          <w:lang w:val="pl-PL"/>
        </w:rPr>
      </w:pPr>
      <w:r w:rsidRPr="004C2970">
        <w:rPr>
          <w:lang w:val="pl-PL"/>
        </w:rPr>
        <w:t>Prosimy</w:t>
      </w:r>
      <w:r w:rsidR="00BB642B">
        <w:rPr>
          <w:lang w:val="pl-PL"/>
        </w:rPr>
        <w:t xml:space="preserve"> </w:t>
      </w:r>
      <w:r w:rsidRPr="004C2970">
        <w:rPr>
          <w:lang w:val="pl-PL"/>
        </w:rPr>
        <w:t>stosować</w:t>
      </w:r>
      <w:r w:rsidR="00BB642B">
        <w:rPr>
          <w:lang w:val="pl-PL"/>
        </w:rPr>
        <w:t xml:space="preserve"> </w:t>
      </w:r>
      <w:r w:rsidRPr="004C2970">
        <w:rPr>
          <w:lang w:val="pl-PL"/>
        </w:rPr>
        <w:t>się do naszych</w:t>
      </w:r>
      <w:r w:rsidR="00BB642B">
        <w:rPr>
          <w:lang w:val="pl-PL"/>
        </w:rPr>
        <w:t xml:space="preserve"> </w:t>
      </w:r>
      <w:r w:rsidR="009900A6">
        <w:rPr>
          <w:lang w:val="pl-PL"/>
        </w:rPr>
        <w:t xml:space="preserve">zaleceń technicznych zawartych w  „Przygotowaniu Podłoży” </w:t>
      </w:r>
      <w:r w:rsidR="00EF7E17">
        <w:rPr>
          <w:lang w:val="pl-PL"/>
        </w:rPr>
        <w:t>na stronie www.dr-schutz.com</w:t>
      </w:r>
      <w:r w:rsidRPr="004C2970">
        <w:rPr>
          <w:lang w:val="pl-PL"/>
        </w:rPr>
        <w:t xml:space="preserve"> </w:t>
      </w:r>
    </w:p>
    <w:p w:rsidR="00CA758E" w:rsidRPr="004C2970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DB222A" w:rsidRPr="004C2970" w:rsidRDefault="00AC7F31" w:rsidP="00DB222A">
      <w:pPr>
        <w:pStyle w:val="Nagwek1"/>
        <w:spacing w:before="52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756D54">
        <w:rPr>
          <w:color w:val="FFFFFF" w:themeColor="background1"/>
          <w:shd w:val="clear" w:color="auto" w:fill="005293"/>
          <w:lang w:val="pl-PL"/>
        </w:rPr>
        <w:t>8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DB222A" w:rsidRPr="004C2970" w:rsidRDefault="005857E4" w:rsidP="005857E4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Poniższe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stanowią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ważną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integralną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część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karty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technicznej: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Kończą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się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ogólne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temat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zastosowania</w:t>
      </w:r>
      <w:r w:rsidR="00A5379F">
        <w:rPr>
          <w:sz w:val="20"/>
          <w:szCs w:val="20"/>
          <w:lang w:val="pl-PL"/>
        </w:rPr>
        <w:t xml:space="preserve"> </w:t>
      </w:r>
      <w:r w:rsidR="00EF7E17">
        <w:rPr>
          <w:sz w:val="20"/>
          <w:szCs w:val="20"/>
          <w:lang w:val="pl-PL"/>
        </w:rPr>
        <w:t>Granulatu Carpetlife</w:t>
      </w:r>
      <w:r w:rsidR="005857E4" w:rsidRPr="004C2970">
        <w:rPr>
          <w:sz w:val="20"/>
          <w:szCs w:val="20"/>
          <w:lang w:val="pl-PL"/>
        </w:rPr>
        <w:t>.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Karta charakterystyki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dostępna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żądanie.</w:t>
      </w:r>
    </w:p>
    <w:p w:rsidR="00283BF7" w:rsidRDefault="005857E4" w:rsidP="00D800A1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I</w:t>
      </w:r>
      <w:r w:rsidR="00DB222A" w:rsidRPr="004C2970">
        <w:rPr>
          <w:sz w:val="20"/>
          <w:szCs w:val="20"/>
          <w:lang w:val="pl-PL"/>
        </w:rPr>
        <w:t>nformacje o pro</w:t>
      </w:r>
      <w:r w:rsidRPr="004C2970">
        <w:rPr>
          <w:sz w:val="20"/>
          <w:szCs w:val="20"/>
          <w:lang w:val="pl-PL"/>
        </w:rPr>
        <w:t>dukcie w zaktualizowanej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formie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są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dostępne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naszej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stronie</w:t>
      </w:r>
      <w:r w:rsidR="00BB642B">
        <w:rPr>
          <w:sz w:val="20"/>
          <w:szCs w:val="20"/>
          <w:lang w:val="pl-PL"/>
        </w:rPr>
        <w:t xml:space="preserve"> </w:t>
      </w:r>
      <w:r w:rsidR="00CC5FBB" w:rsidRPr="004C2970">
        <w:rPr>
          <w:sz w:val="20"/>
          <w:szCs w:val="20"/>
          <w:lang w:val="pl-PL"/>
        </w:rPr>
        <w:t>internetowej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www.dr-schutz.com lub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ż</w:t>
      </w:r>
      <w:r w:rsidRPr="004C2970">
        <w:rPr>
          <w:sz w:val="20"/>
          <w:szCs w:val="20"/>
          <w:lang w:val="pl-PL"/>
        </w:rPr>
        <w:t>ądanie</w:t>
      </w:r>
      <w:r w:rsidR="00DB222A" w:rsidRPr="004C2970">
        <w:rPr>
          <w:sz w:val="20"/>
          <w:szCs w:val="20"/>
          <w:lang w:val="pl-PL"/>
        </w:rPr>
        <w:t>.</w:t>
      </w:r>
    </w:p>
    <w:p w:rsidR="00D800A1" w:rsidRPr="00283BF7" w:rsidRDefault="00D800A1" w:rsidP="00D800A1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bookmarkStart w:id="0" w:name="_GoBack"/>
      <w:bookmarkEnd w:id="0"/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D800A1" w:rsidRDefault="00D800A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</w:p>
    <w:p w:rsidR="00CA758E" w:rsidRPr="004C2970" w:rsidRDefault="00D07F7C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Schutz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Dr. Schutz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Holbeinstraße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D54F25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r w:rsidR="00A17E03" w:rsidRPr="00CC5FBB">
        <w:rPr>
          <w:color w:val="A6A6A6" w:themeColor="background1" w:themeShade="A6"/>
          <w:sz w:val="16"/>
          <w:szCs w:val="16"/>
        </w:rPr>
        <w:t>Nie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ponosimy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użycie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produktów Dr. Schutz niezgodnie z naszymi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zaleceniami.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25" w:rsidRDefault="00D54F25">
      <w:r>
        <w:separator/>
      </w:r>
    </w:p>
  </w:endnote>
  <w:endnote w:type="continuationSeparator" w:id="0">
    <w:p w:rsidR="00D54F25" w:rsidRDefault="00D5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D54F2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953B9D">
                  <w:rPr>
                    <w:noProof/>
                    <w:color w:val="667075"/>
                  </w:rPr>
                  <w:t>2</w:t>
                </w:r>
                <w:r w:rsidR="00027134">
                  <w:fldChar w:fldCharType="end"/>
                </w:r>
                <w:r w:rsidR="00B01269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25" w:rsidRDefault="00D54F25">
      <w:r>
        <w:separator/>
      </w:r>
    </w:p>
  </w:footnote>
  <w:footnote w:type="continuationSeparator" w:id="0">
    <w:p w:rsidR="00D54F25" w:rsidRDefault="00D5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Pr="00BE3613" w:rsidRDefault="00A75AB9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GRANULAT CARPETLIFE</w:t>
                </w:r>
              </w:p>
            </w:txbxContent>
          </v:textbox>
          <w10:wrap anchorx="page" anchory="page"/>
        </v:shape>
      </w:pict>
    </w:r>
    <w:r w:rsidR="00D54F25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D54F25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D54F25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techniczna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CD"/>
    <w:multiLevelType w:val="hybridMultilevel"/>
    <w:tmpl w:val="E216F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7134"/>
    <w:rsid w:val="00032F47"/>
    <w:rsid w:val="00064954"/>
    <w:rsid w:val="00080F77"/>
    <w:rsid w:val="00082B29"/>
    <w:rsid w:val="000C5FAC"/>
    <w:rsid w:val="000D0333"/>
    <w:rsid w:val="00151081"/>
    <w:rsid w:val="00163478"/>
    <w:rsid w:val="00177151"/>
    <w:rsid w:val="001B4269"/>
    <w:rsid w:val="001F1543"/>
    <w:rsid w:val="00267E34"/>
    <w:rsid w:val="00283BF7"/>
    <w:rsid w:val="00295290"/>
    <w:rsid w:val="002A455B"/>
    <w:rsid w:val="0030642D"/>
    <w:rsid w:val="003902F3"/>
    <w:rsid w:val="003A03B5"/>
    <w:rsid w:val="003A4301"/>
    <w:rsid w:val="003E35AE"/>
    <w:rsid w:val="004127D9"/>
    <w:rsid w:val="00431274"/>
    <w:rsid w:val="004C2970"/>
    <w:rsid w:val="004F5735"/>
    <w:rsid w:val="00517443"/>
    <w:rsid w:val="0056699A"/>
    <w:rsid w:val="00574DBB"/>
    <w:rsid w:val="00576A31"/>
    <w:rsid w:val="005857E4"/>
    <w:rsid w:val="005D1FCE"/>
    <w:rsid w:val="00683643"/>
    <w:rsid w:val="006A7A95"/>
    <w:rsid w:val="00715569"/>
    <w:rsid w:val="00721E98"/>
    <w:rsid w:val="007502ED"/>
    <w:rsid w:val="00756D54"/>
    <w:rsid w:val="007E5BD3"/>
    <w:rsid w:val="00803449"/>
    <w:rsid w:val="008254D6"/>
    <w:rsid w:val="008D1B32"/>
    <w:rsid w:val="00953B9D"/>
    <w:rsid w:val="00982C48"/>
    <w:rsid w:val="009900A6"/>
    <w:rsid w:val="009C667F"/>
    <w:rsid w:val="00A17E03"/>
    <w:rsid w:val="00A5379F"/>
    <w:rsid w:val="00A71247"/>
    <w:rsid w:val="00A75AB9"/>
    <w:rsid w:val="00AC7F31"/>
    <w:rsid w:val="00B01269"/>
    <w:rsid w:val="00B352EB"/>
    <w:rsid w:val="00B60BD8"/>
    <w:rsid w:val="00BB642B"/>
    <w:rsid w:val="00BE3613"/>
    <w:rsid w:val="00C01E54"/>
    <w:rsid w:val="00C10ED2"/>
    <w:rsid w:val="00C20F24"/>
    <w:rsid w:val="00CA758E"/>
    <w:rsid w:val="00CB2623"/>
    <w:rsid w:val="00CB56D2"/>
    <w:rsid w:val="00CC5FBB"/>
    <w:rsid w:val="00CE3C9B"/>
    <w:rsid w:val="00CF3CD7"/>
    <w:rsid w:val="00D07F7C"/>
    <w:rsid w:val="00D52166"/>
    <w:rsid w:val="00D54F25"/>
    <w:rsid w:val="00D800A1"/>
    <w:rsid w:val="00DB222A"/>
    <w:rsid w:val="00DD437F"/>
    <w:rsid w:val="00DF3016"/>
    <w:rsid w:val="00E037E8"/>
    <w:rsid w:val="00E04802"/>
    <w:rsid w:val="00E52C22"/>
    <w:rsid w:val="00E91E33"/>
    <w:rsid w:val="00E95B68"/>
    <w:rsid w:val="00EB4A0C"/>
    <w:rsid w:val="00EB79AF"/>
    <w:rsid w:val="00ED02BC"/>
    <w:rsid w:val="00ED4C32"/>
    <w:rsid w:val="00E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23</cp:revision>
  <dcterms:created xsi:type="dcterms:W3CDTF">2018-10-07T19:21:00Z</dcterms:created>
  <dcterms:modified xsi:type="dcterms:W3CDTF">2018-11-30T13:31:00Z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