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EE2954" w:rsidRPr="00EE2954" w:rsidRDefault="00C77AD2" w:rsidP="00C27F90">
      <w:pPr>
        <w:pStyle w:val="Tekstpodstawowy"/>
        <w:ind w:left="720"/>
        <w:jc w:val="both"/>
      </w:pPr>
      <w:r w:rsidRPr="00EE2954">
        <w:rPr>
          <w:lang w:val="pl-PL"/>
        </w:rPr>
        <w:t>Dwuskładnikowy preparat poliuretanowy na bazie wody do zabezpieczania</w:t>
      </w:r>
      <w:r w:rsidR="0012079D">
        <w:rPr>
          <w:lang w:val="pl-PL"/>
        </w:rPr>
        <w:t xml:space="preserve"> podłóg</w:t>
      </w:r>
      <w:bookmarkStart w:id="0" w:name="_GoBack"/>
      <w:bookmarkEnd w:id="0"/>
      <w:r w:rsidRPr="00EE2954">
        <w:rPr>
          <w:lang w:val="pl-PL"/>
        </w:rPr>
        <w:t>. Wyłącznie do użytku profesjonalnego. Zmniejsza przyczepność brudu i ułatwia pielęgnację. Tworzy powłokę wyjątkowo odporną na ścieranie i działanie bezbarwnych środków chemicznych.</w:t>
      </w:r>
      <w:r w:rsidR="00EE2954" w:rsidRPr="00EE2954">
        <w:rPr>
          <w:lang w:val="pl-PL"/>
        </w:rPr>
        <w:t xml:space="preserve"> Jednopowłokowy system</w:t>
      </w:r>
      <w:r w:rsidRPr="00EE2954">
        <w:t xml:space="preserve">. </w:t>
      </w:r>
      <w:proofErr w:type="spellStart"/>
      <w:r w:rsidRPr="00EE2954">
        <w:t>Doskonała</w:t>
      </w:r>
      <w:proofErr w:type="spellEnd"/>
      <w:r w:rsidRPr="00EE2954">
        <w:t xml:space="preserve"> </w:t>
      </w:r>
      <w:proofErr w:type="spellStart"/>
      <w:r w:rsidRPr="00EE2954">
        <w:t>przyczepność</w:t>
      </w:r>
      <w:proofErr w:type="spellEnd"/>
      <w:r w:rsidRPr="00EE2954">
        <w:t xml:space="preserve">, </w:t>
      </w:r>
      <w:proofErr w:type="spellStart"/>
      <w:r w:rsidRPr="00EE2954">
        <w:t>łatwa</w:t>
      </w:r>
      <w:proofErr w:type="spellEnd"/>
      <w:r w:rsidRPr="00EE2954">
        <w:t xml:space="preserve"> </w:t>
      </w:r>
      <w:proofErr w:type="spellStart"/>
      <w:r w:rsidRPr="00EE2954">
        <w:t>aplikacja</w:t>
      </w:r>
      <w:proofErr w:type="spellEnd"/>
      <w:r w:rsidRPr="00EE2954">
        <w:t xml:space="preserve">, </w:t>
      </w:r>
      <w:proofErr w:type="spellStart"/>
      <w:r w:rsidRPr="00EE2954">
        <w:t>nie</w:t>
      </w:r>
      <w:proofErr w:type="spellEnd"/>
      <w:r w:rsidRPr="00EE2954">
        <w:t xml:space="preserve"> </w:t>
      </w:r>
      <w:proofErr w:type="spellStart"/>
      <w:r w:rsidRPr="00EE2954">
        <w:t>żółknie</w:t>
      </w:r>
      <w:proofErr w:type="spellEnd"/>
      <w:r w:rsidRPr="00EE2954">
        <w:t xml:space="preserve">. </w:t>
      </w:r>
    </w:p>
    <w:p w:rsidR="00EE2954" w:rsidRPr="00EE2954" w:rsidRDefault="00C77AD2" w:rsidP="00C27F90">
      <w:pPr>
        <w:pStyle w:val="Tekstpodstawowy"/>
        <w:ind w:left="720"/>
        <w:jc w:val="both"/>
      </w:pPr>
      <w:proofErr w:type="spellStart"/>
      <w:r w:rsidRPr="00EE2954">
        <w:t>Bardzo</w:t>
      </w:r>
      <w:proofErr w:type="spellEnd"/>
      <w:r w:rsidR="00C27F90" w:rsidRPr="00EE2954">
        <w:t xml:space="preserve"> </w:t>
      </w:r>
      <w:proofErr w:type="spellStart"/>
      <w:r w:rsidR="00C27F90" w:rsidRPr="00EE2954">
        <w:t>nis</w:t>
      </w:r>
      <w:r w:rsidR="00EE2954" w:rsidRPr="00EE2954">
        <w:t>ka</w:t>
      </w:r>
      <w:proofErr w:type="spellEnd"/>
      <w:r w:rsidR="00EE2954" w:rsidRPr="00EE2954">
        <w:t xml:space="preserve"> </w:t>
      </w:r>
      <w:proofErr w:type="spellStart"/>
      <w:r w:rsidR="00EE2954" w:rsidRPr="00EE2954">
        <w:t>emisyjność</w:t>
      </w:r>
      <w:proofErr w:type="spellEnd"/>
      <w:r w:rsidR="00EE2954" w:rsidRPr="00EE2954">
        <w:t xml:space="preserve"> (EMICODE: </w:t>
      </w:r>
      <w:r w:rsidR="00C27F90" w:rsidRPr="00EE2954">
        <w:t xml:space="preserve">EC1 </w:t>
      </w:r>
      <w:r w:rsidRPr="00EE2954">
        <w:t xml:space="preserve">R). </w:t>
      </w:r>
    </w:p>
    <w:p w:rsidR="00B0505F" w:rsidRPr="00EE2954" w:rsidRDefault="00C77AD2" w:rsidP="00C27F90">
      <w:pPr>
        <w:pStyle w:val="Tekstpodstawowy"/>
        <w:ind w:left="720"/>
        <w:jc w:val="both"/>
      </w:pPr>
      <w:r w:rsidRPr="00EE2954">
        <w:t xml:space="preserve">abZ-nr-157.20-60, </w:t>
      </w:r>
      <w:proofErr w:type="spellStart"/>
      <w:r w:rsidRPr="00EE2954">
        <w:t>przetestowany</w:t>
      </w:r>
      <w:proofErr w:type="spellEnd"/>
      <w:r w:rsidRPr="00EE2954">
        <w:t xml:space="preserve"> I </w:t>
      </w:r>
      <w:proofErr w:type="spellStart"/>
      <w:r w:rsidRPr="00EE2954">
        <w:t>zatwierdzony</w:t>
      </w:r>
      <w:proofErr w:type="spellEnd"/>
      <w:r w:rsidRPr="00EE2954">
        <w:t xml:space="preserve"> </w:t>
      </w:r>
      <w:proofErr w:type="spellStart"/>
      <w:r w:rsidRPr="00EE2954">
        <w:t>zgodnie</w:t>
      </w:r>
      <w:proofErr w:type="spellEnd"/>
      <w:r w:rsidRPr="00EE2954">
        <w:t xml:space="preserve"> z </w:t>
      </w:r>
      <w:proofErr w:type="spellStart"/>
      <w:r w:rsidRPr="00EE2954">
        <w:t>kryteriami</w:t>
      </w:r>
      <w:proofErr w:type="spellEnd"/>
      <w:r w:rsidRPr="00EE2954">
        <w:t xml:space="preserve"> </w:t>
      </w:r>
      <w:proofErr w:type="spellStart"/>
      <w:r w:rsidRPr="00EE2954">
        <w:t>AgBB</w:t>
      </w:r>
      <w:proofErr w:type="spellEnd"/>
      <w:r w:rsidRPr="00EE2954">
        <w:t xml:space="preserve"> dot. </w:t>
      </w:r>
      <w:proofErr w:type="spellStart"/>
      <w:r w:rsidRPr="00EE2954">
        <w:t>Emisji</w:t>
      </w:r>
      <w:proofErr w:type="spellEnd"/>
      <w:r w:rsidRPr="00EE2954">
        <w:t xml:space="preserve"> </w:t>
      </w:r>
      <w:proofErr w:type="spellStart"/>
      <w:r w:rsidRPr="00EE2954">
        <w:t>lotnych</w:t>
      </w:r>
      <w:proofErr w:type="spellEnd"/>
      <w:r w:rsidRPr="00EE2954">
        <w:t xml:space="preserve"> </w:t>
      </w:r>
      <w:proofErr w:type="spellStart"/>
      <w:r w:rsidRPr="00EE2954">
        <w:t>związków</w:t>
      </w:r>
      <w:proofErr w:type="spellEnd"/>
      <w:r w:rsidRPr="00EE2954">
        <w:t xml:space="preserve"> </w:t>
      </w:r>
      <w:proofErr w:type="spellStart"/>
      <w:r w:rsidRPr="00EE2954">
        <w:t>organicznych</w:t>
      </w:r>
      <w:proofErr w:type="spellEnd"/>
      <w:r w:rsidRPr="00EE2954">
        <w:t xml:space="preserve"> z </w:t>
      </w:r>
      <w:proofErr w:type="spellStart"/>
      <w:r w:rsidRPr="00EE2954">
        <w:t>materiałów</w:t>
      </w:r>
      <w:proofErr w:type="spellEnd"/>
      <w:r w:rsidRPr="00EE2954">
        <w:t xml:space="preserve"> </w:t>
      </w:r>
      <w:proofErr w:type="spellStart"/>
      <w:r w:rsidRPr="00EE2954">
        <w:t>budowlany</w:t>
      </w:r>
      <w:r w:rsidR="00EE2954" w:rsidRPr="00EE2954">
        <w:t>ch</w:t>
      </w:r>
      <w:proofErr w:type="spellEnd"/>
      <w:r w:rsidRPr="00EE2954">
        <w:t>.</w:t>
      </w:r>
    </w:p>
    <w:p w:rsidR="00D21E2D" w:rsidRPr="00EE2954" w:rsidRDefault="00EE2954" w:rsidP="00C27F90">
      <w:pPr>
        <w:pStyle w:val="Tekstpodstawowy"/>
        <w:ind w:left="720"/>
        <w:jc w:val="both"/>
        <w:rPr>
          <w:lang w:val="pl-PL"/>
        </w:rPr>
      </w:pPr>
      <w:r w:rsidRPr="00EE2954">
        <w:rPr>
          <w:lang w:val="pl-PL"/>
        </w:rPr>
        <w:t>Stopnie optyki: mat, satyna</w:t>
      </w:r>
      <w:r w:rsidR="00D21E2D" w:rsidRPr="00EE2954">
        <w:rPr>
          <w:lang w:val="pl-PL"/>
        </w:rPr>
        <w:t>.</w:t>
      </w:r>
    </w:p>
    <w:p w:rsidR="003D73B8" w:rsidRPr="004C2970" w:rsidRDefault="003D73B8" w:rsidP="003D73B8">
      <w:pPr>
        <w:pStyle w:val="Tekstpodstawowy"/>
        <w:ind w:left="720"/>
        <w:rPr>
          <w:lang w:val="pl-PL"/>
        </w:rPr>
      </w:pPr>
    </w:p>
    <w:p w:rsidR="00CA758E" w:rsidRPr="004C2970" w:rsidRDefault="00CA758E">
      <w:pPr>
        <w:pStyle w:val="Tekstpodstawowy"/>
        <w:spacing w:before="7"/>
        <w:rPr>
          <w:sz w:val="18"/>
          <w:lang w:val="pl-PL"/>
        </w:rPr>
      </w:pPr>
    </w:p>
    <w:p w:rsidR="00CA758E" w:rsidRPr="004C2970" w:rsidRDefault="00D07F7C">
      <w:pPr>
        <w:pStyle w:val="Nagwek1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B64115" w:rsidRDefault="00B64115" w:rsidP="00B64115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- p</w:t>
      </w:r>
      <w:r w:rsidR="00EE2954">
        <w:rPr>
          <w:lang w:val="pl-PL"/>
        </w:rPr>
        <w:t>odłogi z PVC</w:t>
      </w:r>
      <w:r>
        <w:rPr>
          <w:lang w:val="pl-PL"/>
        </w:rPr>
        <w:t xml:space="preserve"> oraz LVT</w:t>
      </w:r>
      <w:r w:rsidR="00EE2954">
        <w:rPr>
          <w:lang w:val="pl-PL"/>
        </w:rPr>
        <w:t xml:space="preserve"> </w:t>
      </w:r>
      <w:r w:rsidR="00B0505F">
        <w:rPr>
          <w:lang w:val="pl-PL"/>
        </w:rPr>
        <w:t xml:space="preserve">o gładkich lub lekko strukturalnych powierzchniach. </w:t>
      </w:r>
    </w:p>
    <w:p w:rsidR="00B64115" w:rsidRDefault="00B64115" w:rsidP="00B64115">
      <w:pPr>
        <w:pStyle w:val="Tekstpodstawowy"/>
        <w:spacing w:before="115"/>
        <w:ind w:right="246" w:firstLine="720"/>
        <w:jc w:val="both"/>
        <w:rPr>
          <w:lang w:val="pl-PL"/>
        </w:rPr>
      </w:pPr>
      <w:r>
        <w:rPr>
          <w:lang w:val="pl-PL"/>
        </w:rPr>
        <w:t xml:space="preserve">- </w:t>
      </w:r>
      <w:r>
        <w:rPr>
          <w:lang w:val="pl-PL"/>
        </w:rPr>
        <w:t>linoleum</w:t>
      </w:r>
      <w:r w:rsidR="00B0505F">
        <w:rPr>
          <w:lang w:val="pl-PL"/>
        </w:rPr>
        <w:t xml:space="preserve"> </w:t>
      </w:r>
      <w:r>
        <w:rPr>
          <w:lang w:val="pl-PL"/>
        </w:rPr>
        <w:t xml:space="preserve">o otwartych porach po wcześniejszym zagruntowaniu </w:t>
      </w:r>
      <w:r w:rsidRPr="00B64115">
        <w:rPr>
          <w:b/>
          <w:lang w:val="pl-PL"/>
        </w:rPr>
        <w:t xml:space="preserve">Dr.Schutz Lino </w:t>
      </w:r>
      <w:proofErr w:type="spellStart"/>
      <w:r w:rsidRPr="00B64115">
        <w:rPr>
          <w:b/>
          <w:lang w:val="pl-PL"/>
        </w:rPr>
        <w:t>Primer</w:t>
      </w:r>
      <w:proofErr w:type="spellEnd"/>
      <w:r>
        <w:rPr>
          <w:lang w:val="pl-PL"/>
        </w:rPr>
        <w:t>.</w:t>
      </w:r>
    </w:p>
    <w:p w:rsidR="00B64115" w:rsidRDefault="00B64115" w:rsidP="00B64115">
      <w:pPr>
        <w:pStyle w:val="Tekstpodstawowy"/>
        <w:spacing w:before="115"/>
        <w:ind w:right="246" w:firstLine="720"/>
        <w:jc w:val="both"/>
        <w:rPr>
          <w:lang w:val="pl-PL"/>
        </w:rPr>
      </w:pPr>
      <w:r>
        <w:rPr>
          <w:lang w:val="pl-PL"/>
        </w:rPr>
        <w:t xml:space="preserve">- </w:t>
      </w:r>
      <w:r w:rsidR="005C1A31">
        <w:rPr>
          <w:lang w:val="pl-PL"/>
        </w:rPr>
        <w:t>niechłonne podłoża silikatowe, płyt</w:t>
      </w:r>
      <w:r>
        <w:rPr>
          <w:lang w:val="pl-PL"/>
        </w:rPr>
        <w:t>k</w:t>
      </w:r>
      <w:r w:rsidR="005C1A31">
        <w:rPr>
          <w:lang w:val="pl-PL"/>
        </w:rPr>
        <w:t>i ceramiczne</w:t>
      </w:r>
      <w:r>
        <w:rPr>
          <w:lang w:val="pl-PL"/>
        </w:rPr>
        <w:t xml:space="preserve"> po wcześniejszym zagruntowaniu </w:t>
      </w:r>
      <w:r w:rsidRPr="00B64115">
        <w:rPr>
          <w:b/>
          <w:lang w:val="pl-PL"/>
        </w:rPr>
        <w:t xml:space="preserve">Dr. </w:t>
      </w:r>
      <w:proofErr w:type="spellStart"/>
      <w:r w:rsidRPr="00B64115">
        <w:rPr>
          <w:b/>
          <w:lang w:val="pl-PL"/>
        </w:rPr>
        <w:t>Superbond</w:t>
      </w:r>
      <w:proofErr w:type="spellEnd"/>
      <w:r>
        <w:rPr>
          <w:lang w:val="pl-PL"/>
        </w:rPr>
        <w:t xml:space="preserve">, </w:t>
      </w:r>
    </w:p>
    <w:p w:rsidR="00B64115" w:rsidRDefault="00B64115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 xml:space="preserve">- </w:t>
      </w:r>
      <w:r w:rsidR="00B0505F">
        <w:rPr>
          <w:lang w:val="pl-PL"/>
        </w:rPr>
        <w:t>poliuretanowych oraz epoksydowych.</w:t>
      </w:r>
      <w:r>
        <w:rPr>
          <w:lang w:val="pl-PL"/>
        </w:rPr>
        <w:t xml:space="preserve"> </w:t>
      </w:r>
    </w:p>
    <w:p w:rsidR="00B0505F" w:rsidRPr="00AF481C" w:rsidRDefault="00B64115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-d</w:t>
      </w:r>
      <w:r w:rsidR="00AF481C">
        <w:rPr>
          <w:lang w:val="pl-PL"/>
        </w:rPr>
        <w:t xml:space="preserve">rewniane i korkowe podłogi po wcześniejszym zagruntowaniu </w:t>
      </w:r>
      <w:r w:rsidR="00AF481C">
        <w:rPr>
          <w:b/>
          <w:lang w:val="pl-PL"/>
        </w:rPr>
        <w:t xml:space="preserve">strato </w:t>
      </w:r>
      <w:proofErr w:type="spellStart"/>
      <w:r w:rsidR="00AF481C">
        <w:rPr>
          <w:b/>
          <w:lang w:val="pl-PL"/>
        </w:rPr>
        <w:t>classic</w:t>
      </w:r>
      <w:proofErr w:type="spellEnd"/>
      <w:r w:rsidR="00AF481C">
        <w:rPr>
          <w:b/>
          <w:lang w:val="pl-PL"/>
        </w:rPr>
        <w:t xml:space="preserve"> </w:t>
      </w:r>
      <w:proofErr w:type="spellStart"/>
      <w:r w:rsidR="00AF481C">
        <w:rPr>
          <w:b/>
          <w:lang w:val="pl-PL"/>
        </w:rPr>
        <w:t>prime</w:t>
      </w:r>
      <w:proofErr w:type="spellEnd"/>
      <w:r w:rsidR="00AF481C">
        <w:rPr>
          <w:b/>
          <w:lang w:val="pl-PL"/>
        </w:rPr>
        <w:t xml:space="preserve"> 200.</w:t>
      </w:r>
    </w:p>
    <w:p w:rsidR="00B63576" w:rsidRDefault="00FB60C2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W przypadku</w:t>
      </w:r>
      <w:r w:rsidR="00B63576">
        <w:rPr>
          <w:lang w:val="pl-PL"/>
        </w:rPr>
        <w:t xml:space="preserve"> podłóg o głębokiej </w:t>
      </w:r>
      <w:r>
        <w:rPr>
          <w:lang w:val="pl-PL"/>
        </w:rPr>
        <w:t>strukturze przed użyciem należy wykonać próbę *** .</w:t>
      </w:r>
    </w:p>
    <w:p w:rsidR="003902F3" w:rsidRPr="004C2970" w:rsidRDefault="003902F3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Prosimy zwrócić uwagę na nasze zalecenia techniczne dot. podłóg i budynków na stronie www.dr-schutz.com.</w:t>
      </w:r>
    </w:p>
    <w:p w:rsidR="00CA758E" w:rsidRPr="004C2970" w:rsidRDefault="00AC7F31">
      <w:pPr>
        <w:pStyle w:val="Nagwek1"/>
        <w:spacing w:before="162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04802" w:rsidRDefault="00E04802" w:rsidP="00E04802">
      <w:pPr>
        <w:ind w:left="720"/>
        <w:jc w:val="both"/>
        <w:rPr>
          <w:lang w:val="pl-PL"/>
        </w:rPr>
      </w:pPr>
    </w:p>
    <w:p w:rsidR="00B01269" w:rsidRDefault="00B0505F" w:rsidP="00B01269">
      <w:pPr>
        <w:ind w:left="720"/>
        <w:jc w:val="both"/>
        <w:rPr>
          <w:lang w:val="pl-PL"/>
        </w:rPr>
      </w:pPr>
      <w:r>
        <w:rPr>
          <w:lang w:val="pl-PL"/>
        </w:rPr>
        <w:t>Wstrząsnąć</w:t>
      </w:r>
      <w:r w:rsidR="00AF481C">
        <w:rPr>
          <w:lang w:val="pl-PL"/>
        </w:rPr>
        <w:t xml:space="preserve"> pojemnikiem z Dr. </w:t>
      </w:r>
      <w:proofErr w:type="spellStart"/>
      <w:r w:rsidR="00AF481C">
        <w:rPr>
          <w:lang w:val="pl-PL"/>
        </w:rPr>
        <w:t>Schutz</w:t>
      </w:r>
      <w:proofErr w:type="spellEnd"/>
      <w:r w:rsidR="00B64115">
        <w:rPr>
          <w:lang w:val="pl-PL"/>
        </w:rPr>
        <w:t xml:space="preserve"> Super</w:t>
      </w:r>
      <w:r w:rsidR="00AF481C">
        <w:rPr>
          <w:lang w:val="pl-PL"/>
        </w:rPr>
        <w:t xml:space="preserve"> PU </w:t>
      </w:r>
      <w:proofErr w:type="spellStart"/>
      <w:r w:rsidR="00AF481C">
        <w:rPr>
          <w:lang w:val="pl-PL"/>
        </w:rPr>
        <w:t>Siegel</w:t>
      </w:r>
      <w:proofErr w:type="spellEnd"/>
      <w:r>
        <w:rPr>
          <w:lang w:val="pl-PL"/>
        </w:rPr>
        <w:t xml:space="preserve"> przed dodaniem u</w:t>
      </w:r>
      <w:r w:rsidR="00AF481C">
        <w:rPr>
          <w:lang w:val="pl-PL"/>
        </w:rPr>
        <w:t xml:space="preserve">twardzacza. Dodać utwardzacz </w:t>
      </w:r>
      <w:proofErr w:type="spellStart"/>
      <w:r w:rsidR="00AF481C">
        <w:rPr>
          <w:lang w:val="pl-PL"/>
        </w:rPr>
        <w:t>Crosslinker</w:t>
      </w:r>
      <w:proofErr w:type="spellEnd"/>
      <w:r w:rsidR="00AF481C">
        <w:rPr>
          <w:lang w:val="pl-PL"/>
        </w:rPr>
        <w:t xml:space="preserve"> M (dla matowych optyk) lub utwardzacz </w:t>
      </w:r>
      <w:proofErr w:type="spellStart"/>
      <w:r w:rsidR="00AF481C">
        <w:rPr>
          <w:lang w:val="pl-PL"/>
        </w:rPr>
        <w:t>Crosslinker</w:t>
      </w:r>
      <w:proofErr w:type="spellEnd"/>
      <w:r w:rsidR="00AF481C">
        <w:rPr>
          <w:lang w:val="pl-PL"/>
        </w:rPr>
        <w:t xml:space="preserve"> G(połyskowa optyka)</w:t>
      </w:r>
      <w:r>
        <w:rPr>
          <w:lang w:val="pl-PL"/>
        </w:rPr>
        <w:t xml:space="preserve"> do lakieru w proporcji 10:1,a następnie dokładnie i równomiernie wymieszać. Uzyskany roztwór należy pozostawić na 10 min, a następnie</w:t>
      </w:r>
      <w:r w:rsidR="00BD2F24">
        <w:rPr>
          <w:lang w:val="pl-PL"/>
        </w:rPr>
        <w:t xml:space="preserve"> powtórzyć mieszanie. Nie powinno</w:t>
      </w:r>
      <w:r>
        <w:rPr>
          <w:lang w:val="pl-PL"/>
        </w:rPr>
        <w:t xml:space="preserve"> </w:t>
      </w:r>
      <w:r w:rsidR="00BD2F24">
        <w:rPr>
          <w:lang w:val="pl-PL"/>
        </w:rPr>
        <w:t xml:space="preserve">się </w:t>
      </w:r>
      <w:r>
        <w:rPr>
          <w:lang w:val="pl-PL"/>
        </w:rPr>
        <w:t>przygotowywać więce</w:t>
      </w:r>
      <w:r w:rsidR="00BD2F24">
        <w:rPr>
          <w:lang w:val="pl-PL"/>
        </w:rPr>
        <w:t>j roztworu, niż można zużyć w 4</w:t>
      </w:r>
      <w:r>
        <w:rPr>
          <w:lang w:val="pl-PL"/>
        </w:rPr>
        <w:t xml:space="preserve"> godzin</w:t>
      </w:r>
      <w:r w:rsidR="00BD2F24">
        <w:rPr>
          <w:lang w:val="pl-PL"/>
        </w:rPr>
        <w:t>y</w:t>
      </w:r>
      <w:r w:rsidRPr="00B0505F">
        <w:rPr>
          <w:lang w:val="pl-PL"/>
        </w:rPr>
        <w:t>(w temperaturze 20 ° C)</w:t>
      </w:r>
      <w:r w:rsidR="0031262A">
        <w:rPr>
          <w:lang w:val="pl-PL"/>
        </w:rPr>
        <w:t>. Na wcześniej przygotowaną podłogę</w:t>
      </w:r>
      <w:r w:rsidR="0031262A">
        <w:rPr>
          <w:lang w:val="pl-PL"/>
        </w:rPr>
        <w:tab/>
        <w:t xml:space="preserve">zaaplikować lakier przy użyciu wałka Dr. </w:t>
      </w:r>
      <w:proofErr w:type="spellStart"/>
      <w:r w:rsidR="0031262A">
        <w:rPr>
          <w:lang w:val="pl-PL"/>
        </w:rPr>
        <w:t>Schutz</w:t>
      </w:r>
      <w:proofErr w:type="spellEnd"/>
      <w:r w:rsidR="0031262A">
        <w:rPr>
          <w:lang w:val="pl-PL"/>
        </w:rPr>
        <w:t xml:space="preserve"> </w:t>
      </w:r>
      <w:proofErr w:type="spellStart"/>
      <w:r w:rsidR="0031262A">
        <w:rPr>
          <w:lang w:val="pl-PL"/>
        </w:rPr>
        <w:t>Aquatop</w:t>
      </w:r>
      <w:proofErr w:type="spellEnd"/>
      <w:r w:rsidR="0031262A">
        <w:rPr>
          <w:lang w:val="pl-PL"/>
        </w:rPr>
        <w:t xml:space="preserve"> w temperaturze co najmniej 15</w:t>
      </w:r>
      <w:r>
        <w:rPr>
          <w:lang w:val="pl-PL"/>
        </w:rPr>
        <w:t xml:space="preserve"> </w:t>
      </w:r>
      <w:r w:rsidR="0031262A" w:rsidRPr="00B0505F">
        <w:rPr>
          <w:lang w:val="pl-PL"/>
        </w:rPr>
        <w:t>° C</w:t>
      </w:r>
      <w:r w:rsidR="0031262A">
        <w:rPr>
          <w:lang w:val="pl-PL"/>
        </w:rPr>
        <w:t xml:space="preserve"> (p</w:t>
      </w:r>
      <w:r w:rsidR="0031262A" w:rsidRPr="004C2970">
        <w:rPr>
          <w:lang w:val="pl-PL"/>
        </w:rPr>
        <w:t>rosimy</w:t>
      </w:r>
      <w:r w:rsidR="0031262A">
        <w:rPr>
          <w:lang w:val="pl-PL"/>
        </w:rPr>
        <w:t xml:space="preserve"> </w:t>
      </w:r>
      <w:r w:rsidR="0031262A" w:rsidRPr="004C2970">
        <w:rPr>
          <w:lang w:val="pl-PL"/>
        </w:rPr>
        <w:t>stosować</w:t>
      </w:r>
      <w:r w:rsidR="0031262A">
        <w:rPr>
          <w:lang w:val="pl-PL"/>
        </w:rPr>
        <w:t xml:space="preserve"> </w:t>
      </w:r>
      <w:r w:rsidR="0031262A" w:rsidRPr="004C2970">
        <w:rPr>
          <w:lang w:val="pl-PL"/>
        </w:rPr>
        <w:t>się do naszych</w:t>
      </w:r>
      <w:r w:rsidR="0031262A">
        <w:rPr>
          <w:lang w:val="pl-PL"/>
        </w:rPr>
        <w:t xml:space="preserve"> zaleceń technicznych zawartych w  „Przygotowaniu Podłoży”)</w:t>
      </w:r>
    </w:p>
    <w:p w:rsidR="0031262A" w:rsidRDefault="0031262A" w:rsidP="00B01269">
      <w:pPr>
        <w:ind w:left="720"/>
        <w:jc w:val="both"/>
        <w:rPr>
          <w:lang w:val="pl-PL"/>
        </w:rPr>
      </w:pPr>
    </w:p>
    <w:p w:rsidR="0031262A" w:rsidRDefault="0031262A" w:rsidP="00B01269">
      <w:pPr>
        <w:ind w:left="720"/>
        <w:jc w:val="both"/>
        <w:rPr>
          <w:lang w:val="pl-PL"/>
        </w:rPr>
      </w:pPr>
      <w:r w:rsidRPr="0031262A">
        <w:rPr>
          <w:b/>
          <w:u w:val="single"/>
          <w:lang w:val="pl-PL"/>
        </w:rPr>
        <w:t>Uwaga</w:t>
      </w:r>
      <w:r>
        <w:rPr>
          <w:lang w:val="pl-PL"/>
        </w:rPr>
        <w:t>: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>- przez aplikacją lakieru podłoga musi być czysta, wolna od tłuszczów, olejów, wosków i pyłu</w:t>
      </w:r>
      <w:r w:rsidR="00FB60C2">
        <w:rPr>
          <w:lang w:val="pl-PL"/>
        </w:rPr>
        <w:t xml:space="preserve"> ** </w:t>
      </w:r>
      <w:r>
        <w:rPr>
          <w:lang w:val="pl-PL"/>
        </w:rPr>
        <w:t>.</w:t>
      </w:r>
    </w:p>
    <w:p w:rsidR="00290854" w:rsidRDefault="00290854" w:rsidP="00B01269">
      <w:pPr>
        <w:ind w:left="720"/>
        <w:jc w:val="both"/>
        <w:rPr>
          <w:lang w:val="pl-PL"/>
        </w:rPr>
      </w:pPr>
      <w:r>
        <w:rPr>
          <w:lang w:val="pl-PL"/>
        </w:rPr>
        <w:t xml:space="preserve">- drewno, linoleum o otwartych porach, dekoracyjne podłogi jastrychowe przed aplikacją Dr. </w:t>
      </w:r>
      <w:proofErr w:type="spellStart"/>
      <w:r>
        <w:rPr>
          <w:lang w:val="pl-PL"/>
        </w:rPr>
        <w:t>Schutz</w:t>
      </w:r>
      <w:proofErr w:type="spellEnd"/>
      <w:r>
        <w:rPr>
          <w:lang w:val="pl-PL"/>
        </w:rPr>
        <w:t xml:space="preserve"> Super PU  </w:t>
      </w:r>
      <w:proofErr w:type="spellStart"/>
      <w:r>
        <w:rPr>
          <w:lang w:val="pl-PL"/>
        </w:rPr>
        <w:t>Siegel</w:t>
      </w:r>
      <w:proofErr w:type="spellEnd"/>
      <w:r>
        <w:rPr>
          <w:lang w:val="pl-PL"/>
        </w:rPr>
        <w:t xml:space="preserve"> muszą zostać zagruntowane</w:t>
      </w:r>
    </w:p>
    <w:p w:rsidR="00290854" w:rsidRDefault="00290854" w:rsidP="00B01269">
      <w:pPr>
        <w:ind w:left="720"/>
        <w:jc w:val="both"/>
        <w:rPr>
          <w:lang w:val="pl-PL"/>
        </w:rPr>
      </w:pPr>
      <w:r>
        <w:rPr>
          <w:lang w:val="pl-PL"/>
        </w:rPr>
        <w:t xml:space="preserve">- jeśli jest taka konieczność, można zaaplikować drugą warstwę powłoki. </w:t>
      </w:r>
      <w:r w:rsidRPr="00CB56D2">
        <w:rPr>
          <w:lang w:val="pl-PL"/>
        </w:rPr>
        <w:t xml:space="preserve">Można chodzić </w:t>
      </w:r>
      <w:r>
        <w:rPr>
          <w:lang w:val="pl-PL"/>
        </w:rPr>
        <w:t>ostrożnie lub nakładać drugą warstwę po ok. 2 godzinach</w:t>
      </w:r>
      <w:r w:rsidRPr="00CB56D2">
        <w:rPr>
          <w:lang w:val="pl-PL"/>
        </w:rPr>
        <w:t>, jednak nie d</w:t>
      </w:r>
      <w:r>
        <w:rPr>
          <w:lang w:val="pl-PL"/>
        </w:rPr>
        <w:t>łużej niż 12 godzin</w:t>
      </w:r>
      <w:r w:rsidRPr="00CB56D2">
        <w:rPr>
          <w:lang w:val="pl-PL"/>
        </w:rPr>
        <w:t>.</w:t>
      </w:r>
      <w:r w:rsidRPr="00290854">
        <w:rPr>
          <w:lang w:val="pl-PL"/>
        </w:rPr>
        <w:t xml:space="preserve"> </w:t>
      </w:r>
      <w:r>
        <w:rPr>
          <w:lang w:val="pl-PL"/>
        </w:rPr>
        <w:t>Jeśli druga powłoka jest aplikowana po czasie większym niż 12 godzin, należy pierwszą powłokę delikatnie przeszlifować</w:t>
      </w:r>
      <w:r>
        <w:rPr>
          <w:lang w:val="pl-PL"/>
        </w:rPr>
        <w:t xml:space="preserve"> z użyciem pada Dr. </w:t>
      </w:r>
      <w:proofErr w:type="spellStart"/>
      <w:r>
        <w:rPr>
          <w:lang w:val="pl-PL"/>
        </w:rPr>
        <w:t>Schutz</w:t>
      </w:r>
      <w:proofErr w:type="spellEnd"/>
      <w:r>
        <w:rPr>
          <w:lang w:val="pl-PL"/>
        </w:rPr>
        <w:t xml:space="preserve"> PU do renowacji.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 xml:space="preserve">- temperatura lakieru oraz podłoża musi wynosić co najmniej 15 </w:t>
      </w:r>
      <w:r w:rsidRPr="00B0505F">
        <w:rPr>
          <w:lang w:val="pl-PL"/>
        </w:rPr>
        <w:t>° C</w:t>
      </w:r>
      <w:r>
        <w:rPr>
          <w:lang w:val="pl-PL"/>
        </w:rPr>
        <w:t xml:space="preserve"> podczas aplikacji oraz schnięcia.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>- należy przestrzegać zasad technicznych.</w:t>
      </w: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Pr="004C2970" w:rsidRDefault="00B01269" w:rsidP="00B01269">
      <w:pPr>
        <w:pStyle w:val="Nagwek1"/>
        <w:spacing w:before="182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lastRenderedPageBreak/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Default="00683643" w:rsidP="00290854">
      <w:pPr>
        <w:pStyle w:val="Tekstpodstawowy"/>
        <w:rPr>
          <w:sz w:val="22"/>
        </w:rPr>
      </w:pPr>
    </w:p>
    <w:p w:rsidR="00654641" w:rsidRDefault="00C94015" w:rsidP="00290854">
      <w:pPr>
        <w:pStyle w:val="Tekstpodstawowy"/>
        <w:ind w:left="736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systemie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jednopowłokowym</w:t>
      </w:r>
      <w:proofErr w:type="spellEnd"/>
      <w:r>
        <w:rPr>
          <w:sz w:val="22"/>
        </w:rPr>
        <w:t xml:space="preserve">  100ml/</w:t>
      </w:r>
      <w:r w:rsidRPr="00C94015">
        <w:rPr>
          <w:sz w:val="22"/>
        </w:rPr>
        <w:t xml:space="preserve"> </w:t>
      </w:r>
      <w:r>
        <w:rPr>
          <w:sz w:val="22"/>
        </w:rPr>
        <w:t>m² (10 m²/l).</w:t>
      </w:r>
    </w:p>
    <w:p w:rsidR="00654641" w:rsidRPr="00CB56D2" w:rsidRDefault="00654641" w:rsidP="00B01269">
      <w:pPr>
        <w:pStyle w:val="Tekstpodstawowy"/>
        <w:ind w:left="736"/>
        <w:rPr>
          <w:sz w:val="22"/>
          <w:lang w:val="pl-PL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bardzo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chłonnych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podłoży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zużycie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większe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zależności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chłonności</w:t>
      </w:r>
      <w:proofErr w:type="spellEnd"/>
      <w:r>
        <w:rPr>
          <w:sz w:val="22"/>
        </w:rPr>
        <w:t>.</w:t>
      </w:r>
    </w:p>
    <w:p w:rsidR="00B01269" w:rsidRDefault="00B01269" w:rsidP="00B01269">
      <w:pPr>
        <w:pStyle w:val="Tekstpodstawowy"/>
        <w:spacing w:before="3"/>
        <w:rPr>
          <w:sz w:val="25"/>
          <w:lang w:val="pl-PL"/>
        </w:rPr>
      </w:pPr>
    </w:p>
    <w:p w:rsidR="00654641" w:rsidRDefault="00654641" w:rsidP="00CB56D2">
      <w:pPr>
        <w:pStyle w:val="Tekstpodstawowy"/>
        <w:spacing w:before="3"/>
        <w:ind w:firstLine="102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654641" w:rsidRDefault="00654641" w:rsidP="00CB56D2">
      <w:pPr>
        <w:pStyle w:val="Tekstpodstawowy"/>
        <w:spacing w:before="3"/>
        <w:ind w:firstLine="102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CB56D2" w:rsidRDefault="00CB56D2" w:rsidP="00CB56D2">
      <w:pPr>
        <w:pStyle w:val="Tekstpodstawowy"/>
        <w:spacing w:before="3"/>
        <w:ind w:firstLine="102"/>
        <w:rPr>
          <w:b/>
          <w:color w:val="1F497D" w:themeColor="text2"/>
          <w:sz w:val="24"/>
          <w:lang w:val="pl-PL"/>
        </w:rPr>
      </w:pP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5  </w:t>
      </w:r>
      <w:r>
        <w:rPr>
          <w:b/>
          <w:color w:val="1F497D" w:themeColor="text2"/>
          <w:sz w:val="24"/>
          <w:lang w:val="pl-PL"/>
        </w:rPr>
        <w:t>CZAS SCHNIĘCIA</w:t>
      </w:r>
    </w:p>
    <w:p w:rsidR="00CB56D2" w:rsidRDefault="00CB56D2" w:rsidP="00CB56D2">
      <w:pPr>
        <w:pStyle w:val="Tekstpodstawowy"/>
        <w:spacing w:before="3"/>
        <w:ind w:firstLine="102"/>
        <w:rPr>
          <w:b/>
          <w:color w:val="1F497D" w:themeColor="text2"/>
          <w:sz w:val="24"/>
          <w:lang w:val="pl-PL"/>
        </w:rPr>
      </w:pPr>
    </w:p>
    <w:p w:rsidR="00CB56D2" w:rsidRPr="00FA3463" w:rsidRDefault="00CB56D2" w:rsidP="00B352EB">
      <w:pPr>
        <w:pStyle w:val="Tekstpodstawowy"/>
        <w:spacing w:before="3"/>
        <w:ind w:left="720" w:firstLine="2"/>
        <w:jc w:val="both"/>
        <w:rPr>
          <w:sz w:val="22"/>
          <w:szCs w:val="22"/>
          <w:lang w:val="pl-PL"/>
        </w:rPr>
      </w:pPr>
      <w:r w:rsidRPr="00FA3463">
        <w:rPr>
          <w:sz w:val="22"/>
          <w:szCs w:val="22"/>
          <w:lang w:val="pl-PL"/>
        </w:rPr>
        <w:t xml:space="preserve">Można chodzić </w:t>
      </w:r>
      <w:r w:rsidR="00654641" w:rsidRPr="00FA3463">
        <w:rPr>
          <w:sz w:val="22"/>
          <w:szCs w:val="22"/>
          <w:lang w:val="pl-PL"/>
        </w:rPr>
        <w:t>ostrożnie lub nakładać drugą warstwę po ok. 2 godzinach</w:t>
      </w:r>
      <w:r w:rsidRPr="00FA3463">
        <w:rPr>
          <w:sz w:val="22"/>
          <w:szCs w:val="22"/>
          <w:lang w:val="pl-PL"/>
        </w:rPr>
        <w:t>, jednak nie d</w:t>
      </w:r>
      <w:r w:rsidR="00654641" w:rsidRPr="00FA3463">
        <w:rPr>
          <w:sz w:val="22"/>
          <w:szCs w:val="22"/>
          <w:lang w:val="pl-PL"/>
        </w:rPr>
        <w:t>łużej niż 12 godzin. Po 24 godzinach lakier osiąga ok. 80% docelowej wytrzymałości.</w:t>
      </w:r>
      <w:r w:rsidR="00A73A51" w:rsidRPr="00FA3463">
        <w:rPr>
          <w:sz w:val="22"/>
          <w:szCs w:val="22"/>
          <w:lang w:val="pl-PL"/>
        </w:rPr>
        <w:t xml:space="preserve"> Po 7 dniach produkt jest w pełni utwardzony i odporny na chemikalia</w:t>
      </w:r>
      <w:r w:rsidR="00431CAB" w:rsidRPr="00FA3463">
        <w:rPr>
          <w:sz w:val="22"/>
          <w:szCs w:val="22"/>
          <w:lang w:val="pl-PL"/>
        </w:rPr>
        <w:t>(20° C przy względnej wilgotności powietrza 50% i wentylacji)</w:t>
      </w:r>
      <w:r w:rsidR="00654641" w:rsidRPr="00FA3463">
        <w:rPr>
          <w:sz w:val="22"/>
          <w:szCs w:val="22"/>
          <w:lang w:val="pl-PL"/>
        </w:rPr>
        <w:t xml:space="preserve"> </w:t>
      </w:r>
    </w:p>
    <w:p w:rsidR="00283BF7" w:rsidRDefault="00283BF7" w:rsidP="00B352EB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</w:p>
    <w:p w:rsidR="00283BF7" w:rsidRDefault="00283BF7" w:rsidP="00B352EB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283BF7">
        <w:rPr>
          <w:sz w:val="22"/>
          <w:lang w:val="pl-PL"/>
        </w:rPr>
        <w:t>Niskie temperatury, wysoka wilgotność i słaba wentylac</w:t>
      </w:r>
      <w:r w:rsidR="00290854">
        <w:rPr>
          <w:sz w:val="22"/>
          <w:lang w:val="pl-PL"/>
        </w:rPr>
        <w:t>ja mogą wydłużyć czas schnięcia</w:t>
      </w:r>
      <w:r w:rsidR="00A73A51">
        <w:rPr>
          <w:sz w:val="22"/>
          <w:lang w:val="pl-PL"/>
        </w:rPr>
        <w:t>.</w:t>
      </w:r>
      <w:r w:rsidR="00FA3463">
        <w:rPr>
          <w:sz w:val="22"/>
          <w:lang w:val="pl-PL"/>
        </w:rPr>
        <w:t xml:space="preserve"> Meble można ostrożnie umieścić</w:t>
      </w:r>
      <w:r w:rsidR="00A73A51">
        <w:rPr>
          <w:sz w:val="22"/>
          <w:lang w:val="pl-PL"/>
        </w:rPr>
        <w:t>. Wszystkie ruchome meble, krzesła, stoły powinny być zabezpieczone podkładkami, zabezpieczając w ten sposób podłogę przez zarysowaniami. Zalecamy podkładki</w:t>
      </w:r>
      <w:r w:rsidR="00290854">
        <w:rPr>
          <w:sz w:val="22"/>
          <w:lang w:val="pl-PL"/>
        </w:rPr>
        <w:t xml:space="preserve"> Dr.Schutz</w:t>
      </w:r>
      <w:r w:rsidR="00A73A51">
        <w:rPr>
          <w:sz w:val="22"/>
          <w:lang w:val="pl-PL"/>
        </w:rPr>
        <w:t xml:space="preserve"> </w:t>
      </w:r>
      <w:proofErr w:type="spellStart"/>
      <w:r w:rsidR="00A73A51">
        <w:rPr>
          <w:sz w:val="22"/>
          <w:lang w:val="pl-PL"/>
        </w:rPr>
        <w:t>Scratchnomore</w:t>
      </w:r>
      <w:proofErr w:type="spellEnd"/>
      <w:r w:rsidR="00A73A51">
        <w:rPr>
          <w:sz w:val="22"/>
          <w:lang w:val="pl-PL"/>
        </w:rPr>
        <w:t>.</w:t>
      </w: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</w:p>
    <w:p w:rsidR="00A73A51" w:rsidRDefault="00A73A51" w:rsidP="00A73A51">
      <w:pPr>
        <w:pStyle w:val="Tekstpodstawowy"/>
        <w:spacing w:before="3" w:line="360" w:lineRule="auto"/>
        <w:ind w:firstLine="102"/>
        <w:rPr>
          <w:b/>
          <w:color w:val="1F497D" w:themeColor="text2"/>
          <w:sz w:val="24"/>
          <w:lang w:val="pl-PL"/>
        </w:rPr>
      </w:pPr>
      <w:r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6</w:t>
      </w: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>
        <w:rPr>
          <w:b/>
          <w:color w:val="1F497D" w:themeColor="text2"/>
          <w:sz w:val="24"/>
          <w:lang w:val="pl-PL"/>
        </w:rPr>
        <w:t>KONSERWACJA</w:t>
      </w: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  <w:r>
        <w:rPr>
          <w:sz w:val="22"/>
          <w:lang w:val="pl-PL"/>
        </w:rPr>
        <w:tab/>
        <w:t xml:space="preserve">Po całkowitym utwardzeniu lakieru podłogę należy myć produktem Dr. </w:t>
      </w:r>
      <w:proofErr w:type="spellStart"/>
      <w:r>
        <w:rPr>
          <w:sz w:val="22"/>
          <w:lang w:val="pl-PL"/>
        </w:rPr>
        <w:t>Schutz</w:t>
      </w:r>
      <w:proofErr w:type="spellEnd"/>
      <w:r>
        <w:rPr>
          <w:sz w:val="22"/>
          <w:lang w:val="pl-PL"/>
        </w:rPr>
        <w:t xml:space="preserve"> PU </w:t>
      </w:r>
      <w:proofErr w:type="spellStart"/>
      <w:r>
        <w:rPr>
          <w:sz w:val="22"/>
          <w:lang w:val="pl-PL"/>
        </w:rPr>
        <w:t>Cleaner</w:t>
      </w:r>
      <w:proofErr w:type="spellEnd"/>
      <w:r>
        <w:rPr>
          <w:sz w:val="22"/>
          <w:lang w:val="pl-PL"/>
        </w:rPr>
        <w:t xml:space="preserve"> / </w:t>
      </w:r>
      <w:proofErr w:type="spellStart"/>
      <w:r>
        <w:rPr>
          <w:sz w:val="22"/>
          <w:lang w:val="pl-PL"/>
        </w:rPr>
        <w:t>Schutz</w:t>
      </w:r>
      <w:proofErr w:type="spellEnd"/>
      <w:r>
        <w:rPr>
          <w:sz w:val="22"/>
          <w:lang w:val="pl-PL"/>
        </w:rPr>
        <w:t xml:space="preserve"> </w:t>
      </w:r>
      <w:proofErr w:type="spellStart"/>
      <w:r>
        <w:rPr>
          <w:sz w:val="22"/>
          <w:lang w:val="pl-PL"/>
        </w:rPr>
        <w:t>Cleaner</w:t>
      </w:r>
      <w:proofErr w:type="spellEnd"/>
      <w:r>
        <w:rPr>
          <w:sz w:val="22"/>
          <w:lang w:val="pl-PL"/>
        </w:rPr>
        <w:t>.</w:t>
      </w:r>
    </w:p>
    <w:p w:rsidR="00A73A51" w:rsidRDefault="00A73A51" w:rsidP="009B0C76">
      <w:pPr>
        <w:pStyle w:val="Tekstpodstawowy"/>
        <w:spacing w:before="3"/>
        <w:ind w:left="720"/>
        <w:jc w:val="both"/>
        <w:rPr>
          <w:sz w:val="22"/>
          <w:lang w:val="pl-PL"/>
        </w:rPr>
      </w:pPr>
      <w:r>
        <w:rPr>
          <w:sz w:val="22"/>
          <w:lang w:val="pl-PL"/>
        </w:rPr>
        <w:t>Jeśli na podłodze</w:t>
      </w:r>
      <w:r w:rsidR="009B0C76">
        <w:rPr>
          <w:sz w:val="22"/>
          <w:lang w:val="pl-PL"/>
        </w:rPr>
        <w:t xml:space="preserve"> zaczynają być widoczne oznaki zużycia, zalecamy konsultacje w sprawie oceny i ew. konieczności zabezpieczenia podłogi nową powłoką.</w:t>
      </w:r>
    </w:p>
    <w:p w:rsidR="009B0C76" w:rsidRDefault="009B0C76" w:rsidP="009B0C76">
      <w:pPr>
        <w:pStyle w:val="Tekstpodstawowy"/>
        <w:spacing w:before="3"/>
        <w:ind w:left="72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 przypadku gdy wymagana jest standardowa pielęgnacja, zalecamy użycie Dr.Schutz Emulsji zabezpieczającej mat lub Dr.Schutz Emulsję zabezpieczającą połysk, w zależności od wymaganej optyki. </w:t>
      </w:r>
    </w:p>
    <w:p w:rsidR="00431CAB" w:rsidRPr="00431CAB" w:rsidRDefault="00431CAB" w:rsidP="009B0C76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431CAB">
        <w:rPr>
          <w:sz w:val="22"/>
          <w:szCs w:val="22"/>
          <w:lang w:val="pl-PL"/>
        </w:rPr>
        <w:t>Prosimy stosować się do naszych zaleceń technicznych zawartych w  „Przygotowaniu Podłoży”.</w:t>
      </w:r>
    </w:p>
    <w:p w:rsidR="00CB56D2" w:rsidRPr="00CB56D2" w:rsidRDefault="00CB56D2" w:rsidP="00CB56D2">
      <w:pPr>
        <w:pStyle w:val="Tekstpodstawowy"/>
        <w:spacing w:before="3"/>
        <w:ind w:firstLine="102"/>
        <w:rPr>
          <w:sz w:val="32"/>
          <w:lang w:val="pl-PL"/>
        </w:rPr>
      </w:pPr>
    </w:p>
    <w:p w:rsidR="00B01269" w:rsidRPr="004C2970" w:rsidRDefault="009B0C76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FA3463" w:rsidRDefault="00FA3463" w:rsidP="00283BF7">
      <w:pPr>
        <w:pStyle w:val="Tekstpodstawowy"/>
        <w:spacing w:before="113"/>
        <w:ind w:left="736"/>
        <w:jc w:val="both"/>
        <w:rPr>
          <w:lang w:val="pl-PL"/>
        </w:rPr>
      </w:pPr>
      <w:r>
        <w:rPr>
          <w:lang w:val="pl-PL"/>
        </w:rPr>
        <w:t xml:space="preserve">Super </w:t>
      </w:r>
      <w:r w:rsidR="00431CAB">
        <w:rPr>
          <w:lang w:val="pl-PL"/>
        </w:rPr>
        <w:t xml:space="preserve">PU </w:t>
      </w:r>
      <w:proofErr w:type="spellStart"/>
      <w:r w:rsidR="00431CAB">
        <w:rPr>
          <w:lang w:val="pl-PL"/>
        </w:rPr>
        <w:t>Siegel</w:t>
      </w:r>
      <w:proofErr w:type="spellEnd"/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powinien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być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 xml:space="preserve">magazynowany </w:t>
      </w:r>
      <w:r>
        <w:rPr>
          <w:lang w:val="pl-PL"/>
        </w:rPr>
        <w:t>minimalnie 12 miesięcy od daty produkcji</w:t>
      </w:r>
      <w:r>
        <w:rPr>
          <w:lang w:val="pl-PL"/>
        </w:rPr>
        <w:t>, jeśli jest w oryginalnie zamkniętym opakowaniu w temp 70F (</w:t>
      </w:r>
      <w:r w:rsidRPr="00B0505F">
        <w:rPr>
          <w:lang w:val="pl-PL"/>
        </w:rPr>
        <w:t>20 ° C</w:t>
      </w:r>
      <w:r>
        <w:rPr>
          <w:lang w:val="pl-PL"/>
        </w:rPr>
        <w:t>).</w:t>
      </w:r>
      <w:r w:rsidR="00B01269" w:rsidRPr="004C2970">
        <w:rPr>
          <w:lang w:val="pl-PL"/>
        </w:rPr>
        <w:t xml:space="preserve"> </w:t>
      </w:r>
      <w:r>
        <w:rPr>
          <w:lang w:val="pl-PL"/>
        </w:rPr>
        <w:t xml:space="preserve">Chronić przed mrozem. </w:t>
      </w:r>
      <w:r w:rsidR="00B352EB">
        <w:rPr>
          <w:lang w:val="pl-PL"/>
        </w:rPr>
        <w:t>Produkt należy przechowywać w miejscu niedostępnym</w:t>
      </w:r>
      <w:r>
        <w:rPr>
          <w:lang w:val="pl-PL"/>
        </w:rPr>
        <w:t xml:space="preserve"> dla dzieci.</w:t>
      </w:r>
    </w:p>
    <w:p w:rsidR="00163478" w:rsidRDefault="00FA3463" w:rsidP="00283BF7">
      <w:pPr>
        <w:pStyle w:val="Tekstpodstawowy"/>
        <w:spacing w:before="113"/>
        <w:ind w:left="736"/>
        <w:jc w:val="both"/>
        <w:rPr>
          <w:lang w:val="pl-PL"/>
        </w:rPr>
      </w:pPr>
      <w:r>
        <w:rPr>
          <w:lang w:val="pl-PL"/>
        </w:rPr>
        <w:t xml:space="preserve"> </w:t>
      </w:r>
      <w:r w:rsidR="0056699A">
        <w:rPr>
          <w:lang w:val="pl-PL"/>
        </w:rPr>
        <w:t xml:space="preserve">W przypadku przemrożenia/przegrzania i/lub przechowywania w otwartym opakowaniu w lakierze mogą pojawić się suche elementy – w takim przypadku należy je odseparować sitkiem.  </w:t>
      </w:r>
    </w:p>
    <w:p w:rsidR="00CF3C07" w:rsidRPr="00283BF7" w:rsidRDefault="00CF3C07" w:rsidP="00283BF7">
      <w:pPr>
        <w:pStyle w:val="Tekstpodstawowy"/>
        <w:spacing w:before="113"/>
        <w:ind w:left="736"/>
        <w:jc w:val="both"/>
        <w:rPr>
          <w:lang w:val="pl-PL"/>
        </w:rPr>
      </w:pPr>
    </w:p>
    <w:p w:rsidR="00B4158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4158C" w:rsidRDefault="00B4158C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FA3463" w:rsidRDefault="00FA3463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B01269">
      <w:pPr>
        <w:pStyle w:val="Nagwek1"/>
        <w:spacing w:before="114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lastRenderedPageBreak/>
        <w:t xml:space="preserve">  </w:t>
      </w:r>
      <w:r w:rsidR="009B0C76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Default="00B01269" w:rsidP="003902F3">
      <w:pPr>
        <w:pStyle w:val="Tekstpodstawowy"/>
        <w:ind w:left="736"/>
        <w:jc w:val="both"/>
        <w:rPr>
          <w:lang w:val="pl-PL"/>
        </w:rPr>
      </w:pPr>
      <w:r w:rsidRPr="004C2970">
        <w:rPr>
          <w:lang w:val="pl-PL"/>
        </w:rPr>
        <w:t xml:space="preserve">Skład: </w:t>
      </w:r>
      <w:r w:rsidR="00715569">
        <w:rPr>
          <w:lang w:val="pl-PL"/>
        </w:rPr>
        <w:t>woda, poliakr</w:t>
      </w:r>
      <w:r w:rsidR="00A97069">
        <w:rPr>
          <w:lang w:val="pl-PL"/>
        </w:rPr>
        <w:t>ylan, poliuretan</w:t>
      </w:r>
      <w:r w:rsidR="00715569">
        <w:rPr>
          <w:lang w:val="pl-PL"/>
        </w:rPr>
        <w:t>, kwas krzemowy,</w:t>
      </w:r>
      <w:r w:rsidR="00431CAB">
        <w:rPr>
          <w:lang w:val="pl-PL"/>
        </w:rPr>
        <w:t xml:space="preserve"> </w:t>
      </w:r>
      <w:proofErr w:type="spellStart"/>
      <w:r w:rsidR="00431CAB">
        <w:rPr>
          <w:lang w:val="pl-PL"/>
        </w:rPr>
        <w:t>glikolik</w:t>
      </w:r>
      <w:proofErr w:type="spellEnd"/>
      <w:r w:rsidR="00431CAB">
        <w:rPr>
          <w:lang w:val="pl-PL"/>
        </w:rPr>
        <w:t>,</w:t>
      </w:r>
      <w:r w:rsidR="00715569">
        <w:rPr>
          <w:lang w:val="pl-PL"/>
        </w:rPr>
        <w:t xml:space="preserve"> woski, </w:t>
      </w:r>
      <w:r w:rsidR="003902F3">
        <w:rPr>
          <w:lang w:val="pl-PL"/>
        </w:rPr>
        <w:t xml:space="preserve">dodatki. Zawiera </w:t>
      </w:r>
      <w:r w:rsidR="007E5BD3">
        <w:rPr>
          <w:lang w:val="pl-PL"/>
        </w:rPr>
        <w:t>1,2-benzoizotiazolinon</w:t>
      </w:r>
      <w:r w:rsidR="00A97069">
        <w:rPr>
          <w:lang w:val="pl-PL"/>
        </w:rPr>
        <w:t>-3(2H)-on</w:t>
      </w:r>
      <w:r w:rsidR="007E5BD3">
        <w:rPr>
          <w:lang w:val="pl-PL"/>
        </w:rPr>
        <w:t>. Może wywoływać reakcje alergiczne.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proofErr w:type="spellStart"/>
      <w:r w:rsidRPr="00163478">
        <w:rPr>
          <w:lang w:val="pl-PL"/>
        </w:rPr>
        <w:t>voc</w:t>
      </w:r>
      <w:proofErr w:type="spellEnd"/>
      <w:r w:rsidR="00FA3463">
        <w:rPr>
          <w:lang w:val="pl-PL"/>
        </w:rPr>
        <w:t xml:space="preserve"> (g /l) 73 w mieszaninie</w:t>
      </w:r>
      <w:r w:rsidR="00431CAB">
        <w:rPr>
          <w:lang w:val="pl-PL"/>
        </w:rPr>
        <w:t xml:space="preserve"> (ISO11890)</w:t>
      </w:r>
      <w:r w:rsidR="00A97069">
        <w:rPr>
          <w:lang w:val="pl-PL"/>
        </w:rPr>
        <w:t>/</w:t>
      </w:r>
      <w:r w:rsidR="00FA3463">
        <w:rPr>
          <w:lang w:val="pl-PL"/>
        </w:rPr>
        <w:t>GISCODE: W3DD+/</w:t>
      </w:r>
      <w:r w:rsidR="00A97069">
        <w:rPr>
          <w:lang w:val="pl-PL"/>
        </w:rPr>
        <w:t xml:space="preserve"> 2004/42/IIA(j)(140)</w:t>
      </w:r>
      <w:r w:rsidRPr="00163478">
        <w:rPr>
          <w:lang w:val="pl-PL"/>
        </w:rPr>
        <w:t>140.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>ADR / RID: nie jest towarem niebezpiecznym zgodnie z przepisa</w:t>
      </w:r>
      <w:r w:rsidR="00A97069">
        <w:rPr>
          <w:lang w:val="pl-PL"/>
        </w:rPr>
        <w:t>mi transportowymi (lakier</w:t>
      </w:r>
      <w:r w:rsidRPr="00163478">
        <w:rPr>
          <w:lang w:val="pl-PL"/>
        </w:rPr>
        <w:t xml:space="preserve"> i </w:t>
      </w:r>
      <w:r w:rsidR="00C10ED2">
        <w:rPr>
          <w:lang w:val="pl-PL"/>
        </w:rPr>
        <w:t>utwardzacz</w:t>
      </w:r>
      <w:r w:rsidRPr="00163478">
        <w:rPr>
          <w:lang w:val="pl-PL"/>
        </w:rPr>
        <w:t>).</w:t>
      </w:r>
    </w:p>
    <w:p w:rsidR="00163478" w:rsidRPr="00163478" w:rsidRDefault="00A97069" w:rsidP="00163478">
      <w:pPr>
        <w:pStyle w:val="Tekstpodstawowy"/>
        <w:ind w:left="736"/>
        <w:jc w:val="both"/>
        <w:rPr>
          <w:lang w:val="pl-PL"/>
        </w:rPr>
      </w:pPr>
      <w:r>
        <w:rPr>
          <w:lang w:val="pl-PL"/>
        </w:rPr>
        <w:t>CLP</w:t>
      </w:r>
      <w:r w:rsidR="00090B94">
        <w:rPr>
          <w:lang w:val="pl-PL"/>
        </w:rPr>
        <w:t xml:space="preserve"> (lakier bazowy</w:t>
      </w:r>
      <w:r w:rsidR="00163478" w:rsidRPr="00163478">
        <w:rPr>
          <w:lang w:val="pl-PL"/>
        </w:rPr>
        <w:t>): etykietowanie nie jest konieczne.</w:t>
      </w:r>
    </w:p>
    <w:p w:rsidR="00163478" w:rsidRDefault="00163478" w:rsidP="00CF3C07">
      <w:pPr>
        <w:pStyle w:val="Tekstpodstawowy"/>
        <w:ind w:left="720"/>
        <w:jc w:val="both"/>
        <w:rPr>
          <w:lang w:val="pl-PL"/>
        </w:rPr>
      </w:pPr>
      <w:r w:rsidRPr="00163478">
        <w:rPr>
          <w:lang w:val="pl-PL"/>
        </w:rPr>
        <w:t>Opróżnione kanistry mogą być wyrzucane do śmieci z gospodarstw domowych lub transportowane do centrum recyklingu.</w:t>
      </w:r>
    </w:p>
    <w:p w:rsidR="00CF3C07" w:rsidRPr="00163478" w:rsidRDefault="00CF3C07" w:rsidP="00CF3C07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>CLP (</w:t>
      </w:r>
      <w:r>
        <w:rPr>
          <w:lang w:val="pl-PL"/>
        </w:rPr>
        <w:t>utwardzacz</w:t>
      </w:r>
      <w:r w:rsidRPr="00163478">
        <w:rPr>
          <w:lang w:val="pl-PL"/>
        </w:rPr>
        <w:t>): GHS 07, Uwaga. H332 Działa szkodliwie w następstwie wdychania. H317 Może powodować</w:t>
      </w:r>
      <w:r>
        <w:rPr>
          <w:lang w:val="pl-PL"/>
        </w:rPr>
        <w:t xml:space="preserve"> reakcję alergiczną skóry. H335 </w:t>
      </w:r>
      <w:r w:rsidRPr="00163478">
        <w:rPr>
          <w:lang w:val="pl-PL"/>
        </w:rPr>
        <w:t>Może powodować podrażnienie dróg oddechowych. H412 Działa szkodliwie na organizmy wodne, powodując długot</w:t>
      </w:r>
      <w:r>
        <w:rPr>
          <w:lang w:val="pl-PL"/>
        </w:rPr>
        <w:t>rwałe skutki. P280 Stosować ochronne rękawiczki/ochronę</w:t>
      </w:r>
      <w:r w:rsidRPr="00163478">
        <w:rPr>
          <w:lang w:val="pl-PL"/>
        </w:rPr>
        <w:t xml:space="preserve"> oczu. P362 Zanieczyszczo</w:t>
      </w:r>
      <w:r>
        <w:rPr>
          <w:lang w:val="pl-PL"/>
        </w:rPr>
        <w:t>ną odzież zdjąć. P405 Przechować</w:t>
      </w:r>
      <w:r w:rsidR="00090B94">
        <w:rPr>
          <w:lang w:val="pl-PL"/>
        </w:rPr>
        <w:t xml:space="preserve"> pod zamknięciem</w:t>
      </w:r>
      <w:r w:rsidRPr="00163478">
        <w:rPr>
          <w:lang w:val="pl-PL"/>
        </w:rPr>
        <w:t>. EUH204 Zawiera izocyjaniany.</w:t>
      </w:r>
    </w:p>
    <w:p w:rsidR="00CF3C07" w:rsidRDefault="00CF3C07" w:rsidP="00CF3C07">
      <w:pPr>
        <w:pStyle w:val="Tekstpodstawowy"/>
        <w:ind w:left="736"/>
        <w:rPr>
          <w:lang w:val="pl-PL"/>
        </w:rPr>
      </w:pPr>
      <w:r w:rsidRPr="00163478">
        <w:rPr>
          <w:lang w:val="pl-PL"/>
        </w:rPr>
        <w:t>Mo</w:t>
      </w:r>
      <w:r w:rsidR="00C27F90">
        <w:rPr>
          <w:lang w:val="pl-PL"/>
        </w:rPr>
        <w:t>że powodować reakcję alergiczne</w:t>
      </w:r>
      <w:r>
        <w:rPr>
          <w:lang w:val="pl-PL"/>
        </w:rPr>
        <w:t>.</w:t>
      </w:r>
    </w:p>
    <w:p w:rsidR="00CF3C07" w:rsidRDefault="00CF3C07" w:rsidP="00CF3C07">
      <w:pPr>
        <w:pStyle w:val="Tekstpodstawowy"/>
        <w:ind w:left="736"/>
        <w:rPr>
          <w:lang w:val="pl-PL"/>
        </w:rPr>
      </w:pPr>
      <w:r>
        <w:rPr>
          <w:lang w:val="pl-PL"/>
        </w:rPr>
        <w:t>Stopnie połysku</w:t>
      </w:r>
      <w:r w:rsidR="00090B94">
        <w:rPr>
          <w:lang w:val="pl-PL"/>
        </w:rPr>
        <w:t xml:space="preserve"> przy kącie 60° : </w:t>
      </w:r>
      <w:r>
        <w:rPr>
          <w:lang w:val="pl-PL"/>
        </w:rPr>
        <w:t>mat = 5-7, satyna = 10-</w:t>
      </w:r>
      <w:r w:rsidR="00090B94">
        <w:rPr>
          <w:lang w:val="pl-PL"/>
        </w:rPr>
        <w:t>15.</w:t>
      </w:r>
    </w:p>
    <w:p w:rsidR="00CF3C07" w:rsidRPr="00163478" w:rsidRDefault="00CF3C07" w:rsidP="00CF3C07">
      <w:pPr>
        <w:pStyle w:val="Tekstpodstawowy"/>
        <w:ind w:left="736"/>
        <w:rPr>
          <w:lang w:val="pl-PL"/>
        </w:rPr>
      </w:pPr>
      <w:r>
        <w:rPr>
          <w:lang w:val="pl-PL"/>
        </w:rPr>
        <w:t>Stopień połysku może się różnić w zależności od warunków panujących w budynkach.</w:t>
      </w:r>
    </w:p>
    <w:p w:rsidR="00163478" w:rsidRDefault="00163478" w:rsidP="00163478">
      <w:pPr>
        <w:pStyle w:val="Tekstpodstawowy"/>
        <w:rPr>
          <w:lang w:val="pl-PL"/>
        </w:rPr>
      </w:pPr>
    </w:p>
    <w:p w:rsidR="00CE3C9B" w:rsidRPr="00163478" w:rsidRDefault="00163478" w:rsidP="00163478">
      <w:pPr>
        <w:pStyle w:val="Tekstpodstawowy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A97069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9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7E5BD3" w:rsidRDefault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7E5BD3">
        <w:rPr>
          <w:lang w:val="pl-PL"/>
        </w:rPr>
        <w:t>Po wymieszaniu składników powstaje dwutlenek węgla, nie zamykać w szczelnym opakowaniu, żeby nie dopuścić do jego pęknięcia.</w:t>
      </w:r>
    </w:p>
    <w:p w:rsidR="007E5BD3" w:rsidRDefault="00163478" w:rsidP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 xml:space="preserve">-Narzędzia robocze </w:t>
      </w:r>
      <w:r w:rsidR="007E5BD3">
        <w:rPr>
          <w:lang w:val="pl-PL"/>
        </w:rPr>
        <w:t xml:space="preserve">oczyścić pod bieżącą wodą bezpośrednio po skończonej pracy, gdyż wyschnięty lakier można usunąć tylko mechanicznie. Do malowania należy używać zawsze świeżych rolek </w:t>
      </w:r>
      <w:proofErr w:type="spellStart"/>
      <w:r w:rsidR="007E5BD3">
        <w:rPr>
          <w:lang w:val="pl-PL"/>
        </w:rPr>
        <w:t>Aquatop</w:t>
      </w:r>
      <w:proofErr w:type="spellEnd"/>
      <w:r w:rsidR="007E5BD3">
        <w:rPr>
          <w:lang w:val="pl-PL"/>
        </w:rPr>
        <w:t>.</w:t>
      </w:r>
    </w:p>
    <w:p w:rsidR="007E5BD3" w:rsidRDefault="00163478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7E5BD3">
        <w:rPr>
          <w:lang w:val="pl-PL"/>
        </w:rPr>
        <w:t>Prosimy zwracać uwagę na numer partii. Używaj tylko lakierów tej samej serii. Jeśli opakowania różni się serią, należy lakiery ze sobą wymieszać przed użyciem.</w:t>
      </w:r>
    </w:p>
    <w:p w:rsidR="00C44E80" w:rsidRDefault="00A97069" w:rsidP="00CF3C07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 xml:space="preserve">- Barwniki takie jak farby do włosów, </w:t>
      </w:r>
      <w:r w:rsidR="00C44E80">
        <w:rPr>
          <w:lang w:val="pl-PL"/>
        </w:rPr>
        <w:t>środki dezynfekujące, gumowe kółka pod krzesła mogą nieodwracalnie odbarwić powłokę. Jeśli użycie takich środków jest konieczne w niektórych budynkach, zalecamy przetestowanie chemikaliów w mało widocznym miejscu.</w:t>
      </w:r>
    </w:p>
    <w:p w:rsidR="00C44E80" w:rsidRDefault="00CF3C07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 (*</w:t>
      </w:r>
      <w:r w:rsidR="00C44E80">
        <w:rPr>
          <w:lang w:val="pl-PL"/>
        </w:rPr>
        <w:t>)</w:t>
      </w:r>
      <w:r w:rsidR="00D45AA0">
        <w:rPr>
          <w:lang w:val="pl-PL"/>
        </w:rPr>
        <w:t xml:space="preserve"> W</w:t>
      </w:r>
      <w:r w:rsidR="00D45AA0">
        <w:rPr>
          <w:lang w:val="pl-PL"/>
        </w:rPr>
        <w:t xml:space="preserve"> przypadku pytań prosimy o kontakt.</w:t>
      </w:r>
      <w:r w:rsidR="00EB6163">
        <w:rPr>
          <w:lang w:val="pl-PL"/>
        </w:rPr>
        <w:t xml:space="preserve"> </w:t>
      </w:r>
    </w:p>
    <w:p w:rsidR="00CA758E" w:rsidRPr="004C2970" w:rsidRDefault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080F77" w:rsidRPr="004C2970">
        <w:rPr>
          <w:lang w:val="pl-PL"/>
        </w:rPr>
        <w:t xml:space="preserve"> </w:t>
      </w:r>
      <w:r w:rsidR="00CF3C07">
        <w:rPr>
          <w:lang w:val="pl-PL"/>
        </w:rPr>
        <w:t>(</w:t>
      </w:r>
      <w:r w:rsidR="00EB6163">
        <w:rPr>
          <w:lang w:val="pl-PL"/>
        </w:rPr>
        <w:t>**)</w:t>
      </w:r>
      <w:r w:rsidR="00D45AA0">
        <w:rPr>
          <w:lang w:val="pl-PL"/>
        </w:rPr>
        <w:t xml:space="preserve"> P</w:t>
      </w:r>
      <w:r w:rsidR="00D45AA0" w:rsidRPr="004C2970">
        <w:rPr>
          <w:lang w:val="pl-PL"/>
        </w:rPr>
        <w:t>rosimy</w:t>
      </w:r>
      <w:r w:rsidR="00D45AA0">
        <w:rPr>
          <w:lang w:val="pl-PL"/>
        </w:rPr>
        <w:t xml:space="preserve"> </w:t>
      </w:r>
      <w:r w:rsidR="00D45AA0" w:rsidRPr="004C2970">
        <w:rPr>
          <w:lang w:val="pl-PL"/>
        </w:rPr>
        <w:t>stosować</w:t>
      </w:r>
      <w:r w:rsidR="00D45AA0">
        <w:rPr>
          <w:lang w:val="pl-PL"/>
        </w:rPr>
        <w:t xml:space="preserve"> </w:t>
      </w:r>
      <w:r w:rsidR="00D45AA0" w:rsidRPr="004C2970">
        <w:rPr>
          <w:lang w:val="pl-PL"/>
        </w:rPr>
        <w:t>się do naszych</w:t>
      </w:r>
      <w:r w:rsidR="00D45AA0">
        <w:rPr>
          <w:lang w:val="pl-PL"/>
        </w:rPr>
        <w:t xml:space="preserve"> zaleceń technicznych zawartych w  „Przygotowaniu Podłoży”.</w:t>
      </w:r>
    </w:p>
    <w:p w:rsidR="00CA758E" w:rsidRPr="004C2970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080F77" w:rsidRPr="00C14B3A" w:rsidRDefault="00AC7F31" w:rsidP="00C14B3A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EB6163">
        <w:rPr>
          <w:color w:val="FFFFFF" w:themeColor="background1"/>
          <w:shd w:val="clear" w:color="auto" w:fill="005293"/>
          <w:lang w:val="pl-PL"/>
        </w:rPr>
        <w:t>10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4C2970" w:rsidRDefault="005857E4" w:rsidP="005857E4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Poniższe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stanowią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ważną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integralną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część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karty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technicznej: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Kończą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się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ogólne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temat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zastosowania</w:t>
      </w:r>
      <w:r w:rsidR="00D45AA0">
        <w:rPr>
          <w:sz w:val="20"/>
          <w:szCs w:val="20"/>
          <w:lang w:val="pl-PL"/>
        </w:rPr>
        <w:t xml:space="preserve"> Super</w:t>
      </w:r>
      <w:r w:rsidR="00A5379F">
        <w:rPr>
          <w:sz w:val="20"/>
          <w:szCs w:val="20"/>
          <w:lang w:val="pl-PL"/>
        </w:rPr>
        <w:t xml:space="preserve"> </w:t>
      </w:r>
      <w:r w:rsidR="009828EA">
        <w:rPr>
          <w:sz w:val="20"/>
          <w:szCs w:val="20"/>
          <w:lang w:val="pl-PL"/>
        </w:rPr>
        <w:t xml:space="preserve">PU </w:t>
      </w:r>
      <w:proofErr w:type="spellStart"/>
      <w:r w:rsidR="00CF3C07">
        <w:rPr>
          <w:sz w:val="20"/>
          <w:szCs w:val="20"/>
          <w:lang w:val="pl-PL"/>
        </w:rPr>
        <w:t>Siegel</w:t>
      </w:r>
      <w:proofErr w:type="spellEnd"/>
      <w:r w:rsidR="005857E4" w:rsidRPr="004C2970">
        <w:rPr>
          <w:sz w:val="20"/>
          <w:szCs w:val="20"/>
          <w:lang w:val="pl-PL"/>
        </w:rPr>
        <w:t>.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Karta charakterystyki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dostępna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żądanie.</w:t>
      </w:r>
    </w:p>
    <w:p w:rsidR="00A17E03" w:rsidRDefault="005857E4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I</w:t>
      </w:r>
      <w:r w:rsidR="00DB222A" w:rsidRPr="004C2970">
        <w:rPr>
          <w:sz w:val="20"/>
          <w:szCs w:val="20"/>
          <w:lang w:val="pl-PL"/>
        </w:rPr>
        <w:t>nformacje o pro</w:t>
      </w:r>
      <w:r w:rsidRPr="004C2970">
        <w:rPr>
          <w:sz w:val="20"/>
          <w:szCs w:val="20"/>
          <w:lang w:val="pl-PL"/>
        </w:rPr>
        <w:t>dukcie w zaktualizowanej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formie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są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dostępne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naszej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stronie</w:t>
      </w:r>
      <w:r w:rsidR="00BB642B">
        <w:rPr>
          <w:sz w:val="20"/>
          <w:szCs w:val="20"/>
          <w:lang w:val="pl-PL"/>
        </w:rPr>
        <w:t xml:space="preserve"> </w:t>
      </w:r>
      <w:r w:rsidR="00CC5FBB" w:rsidRPr="004C2970">
        <w:rPr>
          <w:sz w:val="20"/>
          <w:szCs w:val="20"/>
          <w:lang w:val="pl-PL"/>
        </w:rPr>
        <w:t>internetowej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www.dr-schutz.com lub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ż</w:t>
      </w:r>
      <w:r w:rsidRPr="004C2970">
        <w:rPr>
          <w:sz w:val="20"/>
          <w:szCs w:val="20"/>
          <w:lang w:val="pl-PL"/>
        </w:rPr>
        <w:t>ądanie</w:t>
      </w:r>
      <w:r w:rsidR="00DB222A" w:rsidRPr="004C2970">
        <w:rPr>
          <w:sz w:val="20"/>
          <w:szCs w:val="20"/>
          <w:lang w:val="pl-PL"/>
        </w:rPr>
        <w:t>.</w:t>
      </w: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9828EA" w:rsidRDefault="009828EA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14B3A" w:rsidRDefault="00C14B3A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B4158C" w:rsidRDefault="00B4158C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A758E" w:rsidRPr="004C2970" w:rsidRDefault="00D07F7C" w:rsidP="00C14B3A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470BFC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FC" w:rsidRDefault="00470BFC">
      <w:r>
        <w:separator/>
      </w:r>
    </w:p>
  </w:endnote>
  <w:endnote w:type="continuationSeparator" w:id="0">
    <w:p w:rsidR="00470BFC" w:rsidRDefault="004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8" w:rsidRDefault="00470BFC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>
                  <w:fldChar w:fldCharType="separate"/>
                </w:r>
                <w:r w:rsidR="0012079D">
                  <w:rPr>
                    <w:noProof/>
                    <w:color w:val="667075"/>
                  </w:rPr>
                  <w:t>1</w:t>
                </w:r>
                <w:r>
                  <w:fldChar w:fldCharType="end"/>
                </w:r>
                <w:r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FC" w:rsidRDefault="00470BFC">
      <w:r>
        <w:separator/>
      </w:r>
    </w:p>
  </w:footnote>
  <w:footnote w:type="continuationSeparator" w:id="0">
    <w:p w:rsidR="00470BFC" w:rsidRDefault="0047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88" w:rsidRDefault="00E769B0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5448" behindDoc="1" locked="0" layoutInCell="1" allowOverlap="1" wp14:anchorId="0F2FC247" wp14:editId="363CD88A">
          <wp:simplePos x="0" y="0"/>
          <wp:positionH relativeFrom="page">
            <wp:posOffset>5588000</wp:posOffset>
          </wp:positionH>
          <wp:positionV relativeFrom="page">
            <wp:posOffset>990600</wp:posOffset>
          </wp:positionV>
          <wp:extent cx="732485" cy="1135195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8" cy="1136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688"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 wp14:anchorId="163DEC72" wp14:editId="60A49D9D">
          <wp:simplePos x="0" y="0"/>
          <wp:positionH relativeFrom="page">
            <wp:posOffset>4658376</wp:posOffset>
          </wp:positionH>
          <wp:positionV relativeFrom="page">
            <wp:posOffset>890905</wp:posOffset>
          </wp:positionV>
          <wp:extent cx="2448046" cy="134035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46" cy="134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688"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290854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SUPER </w:t>
                </w:r>
                <w:r w:rsidR="00B4158C">
                  <w:rPr>
                    <w:b/>
                    <w:color w:val="005293"/>
                    <w:sz w:val="24"/>
                    <w:szCs w:val="24"/>
                    <w:lang w:val="pl-PL"/>
                  </w:rPr>
                  <w:t>PU SIEGEL</w:t>
                </w:r>
              </w:p>
            </w:txbxContent>
          </v:textbox>
          <w10:wrap anchorx="page" anchory="page"/>
        </v:shape>
      </w:pict>
    </w:r>
    <w:r w:rsidR="00470BFC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470BFC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470BFC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B01269" w:rsidRDefault="0088768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7134"/>
    <w:rsid w:val="00032F47"/>
    <w:rsid w:val="00064954"/>
    <w:rsid w:val="00080F77"/>
    <w:rsid w:val="00082B29"/>
    <w:rsid w:val="00090B94"/>
    <w:rsid w:val="000C5FAC"/>
    <w:rsid w:val="000D0333"/>
    <w:rsid w:val="0012079D"/>
    <w:rsid w:val="00151081"/>
    <w:rsid w:val="00163478"/>
    <w:rsid w:val="00177151"/>
    <w:rsid w:val="001B4269"/>
    <w:rsid w:val="00267E34"/>
    <w:rsid w:val="00283BF7"/>
    <w:rsid w:val="00290854"/>
    <w:rsid w:val="00295290"/>
    <w:rsid w:val="002A455B"/>
    <w:rsid w:val="0030642D"/>
    <w:rsid w:val="0031262A"/>
    <w:rsid w:val="003902F3"/>
    <w:rsid w:val="003A03B5"/>
    <w:rsid w:val="003D73B8"/>
    <w:rsid w:val="003E35AE"/>
    <w:rsid w:val="004127D9"/>
    <w:rsid w:val="00431CAB"/>
    <w:rsid w:val="00470BFC"/>
    <w:rsid w:val="004C2970"/>
    <w:rsid w:val="004F5735"/>
    <w:rsid w:val="0051262A"/>
    <w:rsid w:val="00517443"/>
    <w:rsid w:val="0056699A"/>
    <w:rsid w:val="00574DBB"/>
    <w:rsid w:val="00576A31"/>
    <w:rsid w:val="005857E4"/>
    <w:rsid w:val="005C1A31"/>
    <w:rsid w:val="005D1FCE"/>
    <w:rsid w:val="00654641"/>
    <w:rsid w:val="00683643"/>
    <w:rsid w:val="006A7A95"/>
    <w:rsid w:val="006C695F"/>
    <w:rsid w:val="00715569"/>
    <w:rsid w:val="00721E98"/>
    <w:rsid w:val="007E5BD3"/>
    <w:rsid w:val="00803449"/>
    <w:rsid w:val="008254D6"/>
    <w:rsid w:val="00887688"/>
    <w:rsid w:val="009828EA"/>
    <w:rsid w:val="00982C48"/>
    <w:rsid w:val="009900A6"/>
    <w:rsid w:val="009B0C76"/>
    <w:rsid w:val="00A17E03"/>
    <w:rsid w:val="00A5379F"/>
    <w:rsid w:val="00A71247"/>
    <w:rsid w:val="00A73A51"/>
    <w:rsid w:val="00A97069"/>
    <w:rsid w:val="00AC7F31"/>
    <w:rsid w:val="00AF481C"/>
    <w:rsid w:val="00B01269"/>
    <w:rsid w:val="00B0505F"/>
    <w:rsid w:val="00B352EB"/>
    <w:rsid w:val="00B4158C"/>
    <w:rsid w:val="00B60BD8"/>
    <w:rsid w:val="00B63576"/>
    <w:rsid w:val="00B64115"/>
    <w:rsid w:val="00BB642B"/>
    <w:rsid w:val="00BD2F24"/>
    <w:rsid w:val="00BE3613"/>
    <w:rsid w:val="00C01E54"/>
    <w:rsid w:val="00C10ED2"/>
    <w:rsid w:val="00C14B3A"/>
    <w:rsid w:val="00C20F24"/>
    <w:rsid w:val="00C27F90"/>
    <w:rsid w:val="00C44E80"/>
    <w:rsid w:val="00C77AD2"/>
    <w:rsid w:val="00C94015"/>
    <w:rsid w:val="00CA758E"/>
    <w:rsid w:val="00CB2623"/>
    <w:rsid w:val="00CB56D2"/>
    <w:rsid w:val="00CC5FBB"/>
    <w:rsid w:val="00CE3C9B"/>
    <w:rsid w:val="00CF3C07"/>
    <w:rsid w:val="00CF3CD7"/>
    <w:rsid w:val="00D07F7C"/>
    <w:rsid w:val="00D21E2D"/>
    <w:rsid w:val="00D45AA0"/>
    <w:rsid w:val="00D52166"/>
    <w:rsid w:val="00DB222A"/>
    <w:rsid w:val="00DD437F"/>
    <w:rsid w:val="00DF3016"/>
    <w:rsid w:val="00E037E8"/>
    <w:rsid w:val="00E04802"/>
    <w:rsid w:val="00E52C22"/>
    <w:rsid w:val="00E769B0"/>
    <w:rsid w:val="00E91E33"/>
    <w:rsid w:val="00EB4A0C"/>
    <w:rsid w:val="00EB6163"/>
    <w:rsid w:val="00EB79AF"/>
    <w:rsid w:val="00ED02BC"/>
    <w:rsid w:val="00EE2954"/>
    <w:rsid w:val="00F24E68"/>
    <w:rsid w:val="00FA3463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32</cp:revision>
  <dcterms:created xsi:type="dcterms:W3CDTF">2018-10-07T19:21:00Z</dcterms:created>
  <dcterms:modified xsi:type="dcterms:W3CDTF">2018-12-20T11:05:00Z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