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8E" w:rsidRDefault="00CA758E">
      <w:pPr>
        <w:pStyle w:val="Tekstpodstawowy"/>
        <w:rPr>
          <w:rFonts w:ascii="Times New Roman"/>
        </w:rPr>
      </w:pPr>
    </w:p>
    <w:p w:rsidR="00283BF7" w:rsidRPr="00CC1980" w:rsidRDefault="00AC7F31" w:rsidP="00CC1980">
      <w:pPr>
        <w:pStyle w:val="Nagwek1"/>
        <w:tabs>
          <w:tab w:val="left" w:pos="5940"/>
        </w:tabs>
        <w:spacing w:before="196" w:line="360" w:lineRule="auto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0C5FAC">
        <w:rPr>
          <w:color w:val="FFFFFF" w:themeColor="background1"/>
          <w:shd w:val="clear" w:color="auto" w:fill="005293"/>
          <w:lang w:val="pl-PL"/>
        </w:rPr>
        <w:t>1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803449" w:rsidRPr="004C2970">
        <w:rPr>
          <w:color w:val="1F497D" w:themeColor="text2"/>
          <w:lang w:val="pl-PL"/>
        </w:rPr>
        <w:t>OPIS PRODUKTU</w:t>
      </w:r>
      <w:r w:rsidR="00EB79AF" w:rsidRPr="004C2970">
        <w:rPr>
          <w:color w:val="1F497D" w:themeColor="text2"/>
          <w:lang w:val="pl-PL"/>
        </w:rPr>
        <w:tab/>
      </w:r>
    </w:p>
    <w:p w:rsidR="00CA758E" w:rsidRDefault="00FF48A6" w:rsidP="00547D19">
      <w:pPr>
        <w:pStyle w:val="Tekstpodstawowy"/>
        <w:spacing w:before="7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Delikatny środek na bazie naturalnego mydła, do pielęgnacji o</w:t>
      </w:r>
      <w:r w:rsidR="00F53363">
        <w:rPr>
          <w:sz w:val="22"/>
          <w:szCs w:val="22"/>
          <w:lang w:val="pl-PL"/>
        </w:rPr>
        <w:t>lejowanych i woskowanych podłóg</w:t>
      </w:r>
      <w:r>
        <w:rPr>
          <w:sz w:val="22"/>
          <w:szCs w:val="22"/>
          <w:lang w:val="pl-PL"/>
        </w:rPr>
        <w:t xml:space="preserve"> </w:t>
      </w:r>
      <w:r w:rsidR="00F53363">
        <w:rPr>
          <w:sz w:val="22"/>
          <w:szCs w:val="22"/>
          <w:lang w:val="pl-PL"/>
        </w:rPr>
        <w:t xml:space="preserve">                 </w:t>
      </w:r>
      <w:r>
        <w:rPr>
          <w:sz w:val="22"/>
          <w:szCs w:val="22"/>
          <w:lang w:val="pl-PL"/>
        </w:rPr>
        <w:t>z naturalnego drewna lub korka. Regeneruje i pielęgnuje zarazem czyszczoną powierzchnię, pozostawiając jedwabną powłokę ochronną.</w:t>
      </w:r>
    </w:p>
    <w:p w:rsidR="00547D19" w:rsidRPr="004C2970" w:rsidRDefault="00547D19" w:rsidP="00547D19">
      <w:pPr>
        <w:pStyle w:val="Tekstpodstawowy"/>
        <w:spacing w:before="7"/>
        <w:ind w:left="720"/>
        <w:jc w:val="both"/>
        <w:rPr>
          <w:sz w:val="18"/>
          <w:lang w:val="pl-PL"/>
        </w:rPr>
      </w:pPr>
    </w:p>
    <w:p w:rsidR="00CA758E" w:rsidRPr="004C2970" w:rsidRDefault="00D07F7C" w:rsidP="00F64C49">
      <w:pPr>
        <w:pStyle w:val="Nagwek1"/>
        <w:jc w:val="both"/>
        <w:rPr>
          <w:color w:val="1F497D" w:themeColor="text2"/>
          <w:lang w:val="pl-PL"/>
        </w:rPr>
      </w:pPr>
      <w:r w:rsidRPr="004C2970">
        <w:rPr>
          <w:color w:val="FFFFFF" w:themeColor="background1"/>
          <w:shd w:val="clear" w:color="auto" w:fill="005293"/>
          <w:lang w:val="pl-PL"/>
        </w:rPr>
        <w:t xml:space="preserve"> 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</w:t>
      </w:r>
      <w:r w:rsidRPr="004C2970">
        <w:rPr>
          <w:color w:val="FFFFFF" w:themeColor="background1"/>
          <w:shd w:val="clear" w:color="auto" w:fill="005293"/>
          <w:lang w:val="pl-PL"/>
        </w:rPr>
        <w:t>2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 </w:t>
      </w:r>
      <w:r w:rsidR="00E04802" w:rsidRPr="004C2970">
        <w:rPr>
          <w:color w:val="1F497D" w:themeColor="text2"/>
          <w:lang w:val="pl-PL"/>
        </w:rPr>
        <w:t>PRZEZNACZENIE</w:t>
      </w:r>
    </w:p>
    <w:p w:rsidR="0052222C" w:rsidRDefault="00547D19" w:rsidP="000C1F5D">
      <w:pPr>
        <w:pStyle w:val="Tekstpodstawowy"/>
        <w:spacing w:before="115"/>
        <w:ind w:left="73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Drewniane i korkowe podłogi </w:t>
      </w:r>
      <w:r w:rsidR="00FF48A6">
        <w:rPr>
          <w:sz w:val="22"/>
          <w:szCs w:val="22"/>
          <w:lang w:val="pl-PL"/>
        </w:rPr>
        <w:t>olejowane i woskowane</w:t>
      </w:r>
      <w:r w:rsidR="0034363F" w:rsidRPr="00701047">
        <w:rPr>
          <w:sz w:val="22"/>
          <w:szCs w:val="22"/>
          <w:lang w:val="pl-PL"/>
        </w:rPr>
        <w:t>.</w:t>
      </w:r>
      <w:r w:rsidR="0034363F">
        <w:rPr>
          <w:sz w:val="22"/>
          <w:szCs w:val="22"/>
          <w:lang w:val="pl-PL"/>
        </w:rPr>
        <w:t xml:space="preserve"> </w:t>
      </w:r>
    </w:p>
    <w:p w:rsidR="00040E14" w:rsidRPr="0052222C" w:rsidRDefault="00040E14" w:rsidP="000C1F5D">
      <w:pPr>
        <w:pStyle w:val="Tekstpodstawowy"/>
        <w:spacing w:before="115"/>
        <w:ind w:left="720"/>
        <w:jc w:val="both"/>
        <w:rPr>
          <w:sz w:val="22"/>
          <w:szCs w:val="22"/>
          <w:lang w:val="pl-PL"/>
        </w:rPr>
      </w:pPr>
      <w:r w:rsidRPr="003B615C">
        <w:rPr>
          <w:sz w:val="22"/>
          <w:szCs w:val="22"/>
          <w:lang w:val="pl-PL"/>
        </w:rPr>
        <w:t>Prosimy zwrócić uwagę na nasze zalecenia techniczne dot. podłóg i budynków na stronie</w:t>
      </w:r>
      <w:r w:rsidR="00F53363">
        <w:rPr>
          <w:sz w:val="22"/>
          <w:szCs w:val="22"/>
          <w:lang w:val="pl-PL"/>
        </w:rPr>
        <w:t xml:space="preserve">                  </w:t>
      </w:r>
      <w:r w:rsidRPr="003B615C">
        <w:rPr>
          <w:sz w:val="22"/>
          <w:szCs w:val="22"/>
          <w:lang w:val="pl-PL"/>
        </w:rPr>
        <w:t xml:space="preserve"> </w:t>
      </w:r>
      <w:hyperlink r:id="rId8" w:history="1">
        <w:r w:rsidRPr="00F53363">
          <w:rPr>
            <w:rStyle w:val="Hipercze"/>
            <w:color w:val="0070C0"/>
            <w:sz w:val="22"/>
            <w:szCs w:val="22"/>
            <w:lang w:val="pl-PL"/>
          </w:rPr>
          <w:t>www.dr-</w:t>
        </w:r>
      </w:hyperlink>
      <w:r w:rsidRPr="00F53363">
        <w:rPr>
          <w:color w:val="0070C0"/>
          <w:sz w:val="22"/>
          <w:szCs w:val="22"/>
          <w:u w:val="single"/>
          <w:lang w:val="pl-PL"/>
        </w:rPr>
        <w:t>schutz.com</w:t>
      </w:r>
      <w:r w:rsidRPr="00F53363">
        <w:rPr>
          <w:color w:val="8DB3E2" w:themeColor="text2" w:themeTint="66"/>
          <w:sz w:val="22"/>
          <w:szCs w:val="22"/>
          <w:lang w:val="pl-PL"/>
        </w:rPr>
        <w:t>.</w:t>
      </w:r>
    </w:p>
    <w:p w:rsidR="003E2F01" w:rsidRPr="004C2970" w:rsidRDefault="003E2F01" w:rsidP="00F64C49">
      <w:pPr>
        <w:pStyle w:val="Tekstpodstawowy"/>
        <w:spacing w:before="115"/>
        <w:ind w:left="736" w:right="246"/>
        <w:jc w:val="both"/>
        <w:rPr>
          <w:lang w:val="pl-PL"/>
        </w:rPr>
      </w:pPr>
    </w:p>
    <w:p w:rsidR="00E16A90" w:rsidRPr="00547D19" w:rsidRDefault="00AC7F31" w:rsidP="00547D19">
      <w:pPr>
        <w:pStyle w:val="Nagwek1"/>
        <w:spacing w:before="162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4C2970">
        <w:rPr>
          <w:color w:val="FFFFFF" w:themeColor="background1"/>
          <w:shd w:val="clear" w:color="auto" w:fill="005293"/>
          <w:lang w:val="pl-PL"/>
        </w:rPr>
        <w:t>3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30642D" w:rsidRPr="004C2970">
        <w:rPr>
          <w:color w:val="1F497D" w:themeColor="text2"/>
          <w:lang w:val="pl-PL"/>
        </w:rPr>
        <w:t>SPOSÓB UŻYCIA</w:t>
      </w:r>
    </w:p>
    <w:p w:rsidR="00B01269" w:rsidRDefault="000F1158" w:rsidP="00F64C49">
      <w:pPr>
        <w:ind w:left="720"/>
        <w:jc w:val="both"/>
        <w:rPr>
          <w:lang w:val="pl-PL"/>
        </w:rPr>
      </w:pPr>
      <w:r>
        <w:rPr>
          <w:lang w:val="pl-PL"/>
        </w:rPr>
        <w:t xml:space="preserve">Rozcieńczyć </w:t>
      </w:r>
      <w:r w:rsidR="00E7255A">
        <w:rPr>
          <w:lang w:val="pl-PL"/>
        </w:rPr>
        <w:t>Płyn Czyszczący do Podłóg O</w:t>
      </w:r>
      <w:r w:rsidR="00FF48A6">
        <w:rPr>
          <w:lang w:val="pl-PL"/>
        </w:rPr>
        <w:t>lejowanych</w:t>
      </w:r>
      <w:r w:rsidR="00547D19">
        <w:rPr>
          <w:lang w:val="pl-PL"/>
        </w:rPr>
        <w:t xml:space="preserve"> </w:t>
      </w:r>
      <w:r w:rsidR="00FF48A6">
        <w:rPr>
          <w:lang w:val="pl-PL"/>
        </w:rPr>
        <w:t>w proporcji 1:1</w:t>
      </w:r>
      <w:r w:rsidR="005E3FA5">
        <w:rPr>
          <w:lang w:val="pl-PL"/>
        </w:rPr>
        <w:t>00 (</w:t>
      </w:r>
      <w:r w:rsidR="00FF48A6">
        <w:rPr>
          <w:lang w:val="pl-PL"/>
        </w:rPr>
        <w:t>100</w:t>
      </w:r>
      <w:r w:rsidR="005E3FA5">
        <w:rPr>
          <w:lang w:val="pl-PL"/>
        </w:rPr>
        <w:t xml:space="preserve"> ml na 10l wody), umyć podłogę</w:t>
      </w:r>
      <w:r w:rsidR="00F65053">
        <w:rPr>
          <w:lang w:val="pl-PL"/>
        </w:rPr>
        <w:t xml:space="preserve">      </w:t>
      </w:r>
      <w:r w:rsidR="005E3FA5">
        <w:rPr>
          <w:lang w:val="pl-PL"/>
        </w:rPr>
        <w:t xml:space="preserve"> </w:t>
      </w:r>
      <w:r w:rsidR="00547D19">
        <w:rPr>
          <w:lang w:val="pl-PL"/>
        </w:rPr>
        <w:t>mopem i</w:t>
      </w:r>
      <w:r w:rsidR="005E3FA5">
        <w:rPr>
          <w:lang w:val="pl-PL"/>
        </w:rPr>
        <w:t xml:space="preserve"> pozostawić</w:t>
      </w:r>
      <w:r w:rsidR="00547D19">
        <w:rPr>
          <w:lang w:val="pl-PL"/>
        </w:rPr>
        <w:t xml:space="preserve"> do wyschnięcia</w:t>
      </w:r>
      <w:r w:rsidR="005E3FA5">
        <w:rPr>
          <w:lang w:val="pl-PL"/>
        </w:rPr>
        <w:t>.</w:t>
      </w:r>
      <w:r>
        <w:rPr>
          <w:lang w:val="pl-PL"/>
        </w:rPr>
        <w:t xml:space="preserve"> </w:t>
      </w:r>
      <w:r w:rsidR="00FF48A6">
        <w:rPr>
          <w:lang w:val="pl-PL"/>
        </w:rPr>
        <w:t>Czyści i jednocześnie zabezpiecza czyszczoną powierzchnię</w:t>
      </w:r>
      <w:r>
        <w:rPr>
          <w:lang w:val="pl-PL"/>
        </w:rPr>
        <w:t>.</w:t>
      </w:r>
      <w:r w:rsidR="00FF48A6">
        <w:rPr>
          <w:lang w:val="pl-PL"/>
        </w:rPr>
        <w:t xml:space="preserve"> Regularne polerowanie powierzchni zwiększa wytrzymałość powłoki zabezpieczającej</w:t>
      </w:r>
      <w:r w:rsidR="00E45B51">
        <w:rPr>
          <w:lang w:val="pl-PL"/>
        </w:rPr>
        <w:t xml:space="preserve"> i jest szczególnie zalecane do powierzchni o dużym natężeniu ruchu.</w:t>
      </w:r>
    </w:p>
    <w:p w:rsidR="000F1158" w:rsidRDefault="000F1158" w:rsidP="00F11586">
      <w:pPr>
        <w:jc w:val="both"/>
        <w:rPr>
          <w:lang w:val="pl-PL"/>
        </w:rPr>
      </w:pPr>
    </w:p>
    <w:p w:rsidR="000F1158" w:rsidRDefault="000F1158" w:rsidP="00F64C49">
      <w:pPr>
        <w:ind w:left="720"/>
        <w:jc w:val="both"/>
        <w:rPr>
          <w:lang w:val="pl-PL"/>
        </w:rPr>
      </w:pPr>
      <w:r w:rsidRPr="000F1158">
        <w:rPr>
          <w:b/>
          <w:lang w:val="pl-PL"/>
        </w:rPr>
        <w:t>Uwaga</w:t>
      </w:r>
      <w:r>
        <w:rPr>
          <w:lang w:val="pl-PL"/>
        </w:rPr>
        <w:t xml:space="preserve">: </w:t>
      </w:r>
      <w:r w:rsidR="009E416B">
        <w:rPr>
          <w:lang w:val="pl-PL"/>
        </w:rPr>
        <w:t>Podłogi drewniane i parkiety są podłogami naturalnymi i nigdy nie powinny być narażone na wilgoć przez dłuższy czas, ponieważ mogą wchłonąć wodę i się zdeformować. Z tego powodu należy czyścić podłogę lekko wilgotną śc</w:t>
      </w:r>
      <w:r w:rsidR="00E7255A">
        <w:rPr>
          <w:lang w:val="pl-PL"/>
        </w:rPr>
        <w:t>iereczką lub mopem i</w:t>
      </w:r>
      <w:r w:rsidR="009E416B">
        <w:rPr>
          <w:lang w:val="pl-PL"/>
        </w:rPr>
        <w:t xml:space="preserve"> nie wylewać płynu bezpośrednio na podłogę.</w:t>
      </w:r>
      <w:r w:rsidR="00E45B51">
        <w:rPr>
          <w:lang w:val="pl-PL"/>
        </w:rPr>
        <w:t xml:space="preserve"> Wielokrotne stosowanie nadmiernej ilośc</w:t>
      </w:r>
      <w:r w:rsidR="00E7255A">
        <w:rPr>
          <w:lang w:val="pl-PL"/>
        </w:rPr>
        <w:t>i Płynu Czyszczącego do Podłóg O</w:t>
      </w:r>
      <w:r w:rsidR="00E45B51">
        <w:rPr>
          <w:lang w:val="pl-PL"/>
        </w:rPr>
        <w:t>lejowanych może spowodować zwiększenie śliskości powierzchni, a tym samym zmniejszenie jej właściwości antypoślizgowych.</w:t>
      </w:r>
    </w:p>
    <w:p w:rsidR="00B01269" w:rsidRDefault="00B01269" w:rsidP="00F64C49">
      <w:pPr>
        <w:ind w:left="720"/>
        <w:jc w:val="both"/>
        <w:rPr>
          <w:lang w:val="pl-PL"/>
        </w:rPr>
      </w:pPr>
    </w:p>
    <w:p w:rsidR="00B01269" w:rsidRPr="003E2F01" w:rsidRDefault="00B01269" w:rsidP="00F64C49">
      <w:pPr>
        <w:pStyle w:val="Nagwek1"/>
        <w:spacing w:before="182" w:line="360" w:lineRule="auto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4  </w:t>
      </w:r>
      <w:r w:rsidRPr="004C2970">
        <w:rPr>
          <w:color w:val="1F497D" w:themeColor="text2"/>
          <w:lang w:val="pl-PL"/>
        </w:rPr>
        <w:t>ZUŻYCIE</w:t>
      </w:r>
    </w:p>
    <w:p w:rsidR="00683643" w:rsidRPr="00627B0D" w:rsidRDefault="00DE46D9" w:rsidP="00F64C49">
      <w:pPr>
        <w:pStyle w:val="Tekstpodstawowy"/>
        <w:ind w:left="736"/>
        <w:jc w:val="both"/>
        <w:rPr>
          <w:sz w:val="22"/>
        </w:rPr>
      </w:pPr>
      <w:r>
        <w:rPr>
          <w:sz w:val="22"/>
        </w:rPr>
        <w:t xml:space="preserve">Codzienne </w:t>
      </w:r>
      <w:r w:rsidR="000F1158">
        <w:rPr>
          <w:sz w:val="22"/>
        </w:rPr>
        <w:t>czyszczenie</w:t>
      </w:r>
      <w:r w:rsidR="00F65053">
        <w:rPr>
          <w:sz w:val="22"/>
        </w:rPr>
        <w:t xml:space="preserve">: </w:t>
      </w:r>
      <w:r w:rsidR="00F11586">
        <w:rPr>
          <w:sz w:val="22"/>
        </w:rPr>
        <w:t>0,1l/5</w:t>
      </w:r>
      <w:r w:rsidR="00F65053">
        <w:rPr>
          <w:sz w:val="22"/>
        </w:rPr>
        <w:t>0</w:t>
      </w:r>
      <w:r>
        <w:rPr>
          <w:sz w:val="22"/>
        </w:rPr>
        <w:t>m</w:t>
      </w:r>
      <w:r>
        <w:rPr>
          <w:sz w:val="22"/>
          <w:vertAlign w:val="superscript"/>
        </w:rPr>
        <w:t>2</w:t>
      </w:r>
      <w:r w:rsidR="00F11586">
        <w:rPr>
          <w:sz w:val="22"/>
        </w:rPr>
        <w:t xml:space="preserve"> (rozcieńczenie 1:1</w:t>
      </w:r>
      <w:r w:rsidR="00C147E5">
        <w:rPr>
          <w:sz w:val="22"/>
        </w:rPr>
        <w:t>00).</w:t>
      </w:r>
      <w:r w:rsidR="0013370B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1158" w:rsidRDefault="000F1158" w:rsidP="00F11586">
      <w:pPr>
        <w:pStyle w:val="Nagwek1"/>
        <w:spacing w:before="51" w:line="360" w:lineRule="auto"/>
        <w:ind w:left="0"/>
        <w:jc w:val="both"/>
        <w:rPr>
          <w:color w:val="FFFFFF" w:themeColor="background1"/>
          <w:shd w:val="clear" w:color="auto" w:fill="005293"/>
          <w:lang w:val="pl-PL"/>
        </w:rPr>
      </w:pPr>
    </w:p>
    <w:p w:rsidR="00627B0D" w:rsidRPr="004C2970" w:rsidRDefault="00627B0D" w:rsidP="00F64C49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5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E46D9" w:rsidRPr="004C2970">
        <w:rPr>
          <w:color w:val="1F497D" w:themeColor="text2"/>
          <w:lang w:val="pl-PL"/>
        </w:rPr>
        <w:t>MAGAZYNOWANIE</w:t>
      </w:r>
    </w:p>
    <w:p w:rsidR="00E97E4D" w:rsidRDefault="00F11586" w:rsidP="00DE46D9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Płyn czyszczący do podłóg olejowanych</w:t>
      </w:r>
      <w:r w:rsidR="00F65053" w:rsidRPr="00650634">
        <w:rPr>
          <w:sz w:val="22"/>
          <w:szCs w:val="22"/>
          <w:lang w:val="pl-PL"/>
        </w:rPr>
        <w:t xml:space="preserve"> </w:t>
      </w:r>
      <w:r w:rsidR="00F65053">
        <w:rPr>
          <w:sz w:val="22"/>
          <w:szCs w:val="22"/>
          <w:lang w:val="pl-PL"/>
        </w:rPr>
        <w:t>należy m</w:t>
      </w:r>
      <w:r w:rsidR="00DE46D9" w:rsidRPr="00650634">
        <w:rPr>
          <w:sz w:val="22"/>
          <w:szCs w:val="22"/>
          <w:lang w:val="pl-PL"/>
        </w:rPr>
        <w:t>agazyno</w:t>
      </w:r>
      <w:r w:rsidR="00DE46D9">
        <w:rPr>
          <w:sz w:val="22"/>
          <w:szCs w:val="22"/>
          <w:lang w:val="pl-PL"/>
        </w:rPr>
        <w:t xml:space="preserve">wać w chłodnym i suchym miejscu w zamkniętym opakowaniu. </w:t>
      </w:r>
      <w:r w:rsidR="00DE46D9" w:rsidRPr="00650634">
        <w:rPr>
          <w:sz w:val="22"/>
          <w:szCs w:val="22"/>
          <w:lang w:val="pl-PL"/>
        </w:rPr>
        <w:t>Produkt należy przechowywać w miejscu niedostępnym dla dzieci.</w:t>
      </w:r>
      <w:r w:rsidR="00F65053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Chronić przed mrozem.</w:t>
      </w:r>
    </w:p>
    <w:p w:rsidR="00DE46D9" w:rsidRDefault="00DE46D9" w:rsidP="00F64C49">
      <w:pPr>
        <w:pStyle w:val="Tekstpodstawowy"/>
        <w:spacing w:before="3"/>
        <w:ind w:firstLine="720"/>
        <w:jc w:val="both"/>
        <w:rPr>
          <w:sz w:val="22"/>
          <w:szCs w:val="22"/>
          <w:lang w:val="pl-PL"/>
        </w:rPr>
      </w:pPr>
    </w:p>
    <w:p w:rsidR="00E97E4D" w:rsidRPr="004C2970" w:rsidRDefault="00E97E4D" w:rsidP="00F64C49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6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E46D9" w:rsidRPr="004C2970">
        <w:rPr>
          <w:color w:val="1F497D" w:themeColor="text2"/>
          <w:lang w:val="pl-PL"/>
        </w:rPr>
        <w:t>DANE TECHNICZNE</w:t>
      </w:r>
    </w:p>
    <w:p w:rsidR="00E97E4D" w:rsidRDefault="00DE46D9" w:rsidP="005A6D8F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Skład: </w:t>
      </w:r>
      <w:r w:rsidR="00F11586">
        <w:rPr>
          <w:sz w:val="22"/>
          <w:szCs w:val="22"/>
          <w:lang w:val="pl-PL"/>
        </w:rPr>
        <w:t xml:space="preserve">mniej niż 5% mydła, </w:t>
      </w:r>
      <w:r w:rsidR="004F0097">
        <w:rPr>
          <w:sz w:val="22"/>
          <w:szCs w:val="22"/>
          <w:lang w:val="pl-PL"/>
        </w:rPr>
        <w:t xml:space="preserve">mniej niż 5% anionowych </w:t>
      </w:r>
      <w:r w:rsidR="00F11586">
        <w:rPr>
          <w:sz w:val="22"/>
          <w:szCs w:val="22"/>
          <w:lang w:val="pl-PL"/>
        </w:rPr>
        <w:t>środków powierzchniowo czynnych</w:t>
      </w:r>
      <w:r w:rsidR="00C147E5">
        <w:rPr>
          <w:sz w:val="22"/>
          <w:szCs w:val="22"/>
          <w:lang w:val="pl-PL"/>
        </w:rPr>
        <w:t xml:space="preserve">, mniej niż 5% </w:t>
      </w:r>
      <w:r w:rsidR="00F11586">
        <w:rPr>
          <w:sz w:val="22"/>
          <w:szCs w:val="22"/>
          <w:lang w:val="pl-PL"/>
        </w:rPr>
        <w:t>nie</w:t>
      </w:r>
      <w:r w:rsidR="00C147E5">
        <w:rPr>
          <w:sz w:val="22"/>
          <w:szCs w:val="22"/>
          <w:lang w:val="pl-PL"/>
        </w:rPr>
        <w:t xml:space="preserve">jonowych </w:t>
      </w:r>
      <w:r w:rsidR="00F11586">
        <w:rPr>
          <w:sz w:val="22"/>
          <w:szCs w:val="22"/>
          <w:lang w:val="pl-PL"/>
        </w:rPr>
        <w:t>środków powierzchniowo czynnych</w:t>
      </w:r>
      <w:r w:rsidR="00F65053">
        <w:rPr>
          <w:sz w:val="22"/>
          <w:szCs w:val="22"/>
          <w:lang w:val="pl-PL"/>
        </w:rPr>
        <w:t>. Zawiera</w:t>
      </w:r>
      <w:r w:rsidR="00C147E5">
        <w:rPr>
          <w:sz w:val="22"/>
          <w:szCs w:val="22"/>
          <w:lang w:val="pl-PL"/>
        </w:rPr>
        <w:t xml:space="preserve"> </w:t>
      </w:r>
      <w:r w:rsidR="00F11586">
        <w:rPr>
          <w:sz w:val="22"/>
          <w:szCs w:val="22"/>
          <w:lang w:val="pl-PL"/>
        </w:rPr>
        <w:t>konserwanty. Inne składniki: materiały procesowe.</w:t>
      </w:r>
    </w:p>
    <w:p w:rsidR="00F11586" w:rsidRDefault="00F11586" w:rsidP="005A6D8F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GISCODE: GU 40</w:t>
      </w:r>
    </w:p>
    <w:p w:rsidR="00DE46D9" w:rsidRDefault="00F11586" w:rsidP="00F64C49">
      <w:pPr>
        <w:pStyle w:val="Tekstpodstawowy"/>
        <w:spacing w:before="3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pH: </w:t>
      </w:r>
      <w:r w:rsidR="005A6D8F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7</w:t>
      </w:r>
      <w:r w:rsidR="00DE46D9">
        <w:rPr>
          <w:sz w:val="22"/>
          <w:szCs w:val="22"/>
          <w:lang w:val="pl-PL"/>
        </w:rPr>
        <w:t>,5</w:t>
      </w:r>
      <w:r w:rsidR="005A6D8F">
        <w:rPr>
          <w:sz w:val="22"/>
          <w:szCs w:val="22"/>
          <w:lang w:val="pl-PL"/>
        </w:rPr>
        <w:t xml:space="preserve"> (koncentrat)</w:t>
      </w:r>
    </w:p>
    <w:p w:rsidR="00627B0D" w:rsidRPr="00627B0D" w:rsidRDefault="00627B0D" w:rsidP="00F64C49">
      <w:pPr>
        <w:pStyle w:val="Tekstpodstawowy"/>
        <w:spacing w:before="3"/>
        <w:jc w:val="both"/>
        <w:rPr>
          <w:sz w:val="22"/>
          <w:szCs w:val="22"/>
          <w:lang w:val="pl-PL"/>
        </w:rPr>
      </w:pPr>
    </w:p>
    <w:p w:rsidR="00B01269" w:rsidRPr="004C2970" w:rsidRDefault="00627B0D" w:rsidP="00F64C49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lastRenderedPageBreak/>
        <w:t xml:space="preserve">  </w:t>
      </w:r>
      <w:r w:rsidR="00AD3DD3">
        <w:rPr>
          <w:color w:val="FFFFFF" w:themeColor="background1"/>
          <w:shd w:val="clear" w:color="auto" w:fill="005293"/>
          <w:lang w:val="pl-PL"/>
        </w:rPr>
        <w:t>7</w:t>
      </w:r>
      <w:r w:rsidR="00B01269"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6145F5" w:rsidRPr="00163478">
        <w:rPr>
          <w:color w:val="1F497D" w:themeColor="text2"/>
          <w:lang w:val="pl-PL"/>
        </w:rPr>
        <w:t>UWAGI SPECJALNE</w:t>
      </w:r>
    </w:p>
    <w:p w:rsidR="004936C6" w:rsidRPr="00650634" w:rsidRDefault="006145F5" w:rsidP="00F64C49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Prosimy zwrócić uwagę na nasze zalecenia techniczne dot. podłóg i b</w:t>
      </w:r>
      <w:r>
        <w:rPr>
          <w:sz w:val="22"/>
          <w:szCs w:val="22"/>
          <w:lang w:val="pl-PL"/>
        </w:rPr>
        <w:t xml:space="preserve">udynków na stronie                        </w:t>
      </w:r>
      <w:r w:rsidRPr="00A03ABF">
        <w:rPr>
          <w:sz w:val="22"/>
          <w:szCs w:val="22"/>
          <w:lang w:val="pl-PL"/>
        </w:rPr>
        <w:t xml:space="preserve"> </w:t>
      </w:r>
      <w:hyperlink r:id="rId9" w:history="1">
        <w:r w:rsidRPr="00A03ABF">
          <w:rPr>
            <w:rStyle w:val="Hipercze"/>
            <w:sz w:val="22"/>
            <w:szCs w:val="22"/>
            <w:lang w:val="pl-PL"/>
          </w:rPr>
          <w:t>www.dr-schutz.com</w:t>
        </w:r>
      </w:hyperlink>
      <w:r w:rsidR="004936C6" w:rsidRPr="00650634">
        <w:rPr>
          <w:sz w:val="22"/>
          <w:szCs w:val="22"/>
          <w:lang w:val="pl-PL"/>
        </w:rPr>
        <w:t>.</w:t>
      </w:r>
    </w:p>
    <w:p w:rsidR="008F50C4" w:rsidRDefault="008F50C4" w:rsidP="00F64C49">
      <w:pPr>
        <w:pStyle w:val="Nagwek1"/>
        <w:spacing w:before="114"/>
        <w:ind w:left="0"/>
        <w:jc w:val="both"/>
        <w:rPr>
          <w:color w:val="FFFFFF" w:themeColor="background1"/>
          <w:shd w:val="clear" w:color="auto" w:fill="005293"/>
          <w:lang w:val="pl-PL"/>
        </w:rPr>
      </w:pPr>
    </w:p>
    <w:p w:rsidR="00B01269" w:rsidRPr="004C2970" w:rsidRDefault="00B01269" w:rsidP="006145F5">
      <w:pPr>
        <w:pStyle w:val="Nagwek1"/>
        <w:spacing w:before="114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AD3DD3">
        <w:rPr>
          <w:color w:val="FFFFFF" w:themeColor="background1"/>
          <w:shd w:val="clear" w:color="auto" w:fill="005293"/>
          <w:lang w:val="pl-PL"/>
        </w:rPr>
        <w:t>8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6145F5" w:rsidRPr="004C2970">
        <w:rPr>
          <w:color w:val="1F497D" w:themeColor="text2"/>
          <w:lang w:val="pl-PL"/>
        </w:rPr>
        <w:t>DODATKOWE INFORMACJE</w:t>
      </w:r>
    </w:p>
    <w:p w:rsidR="006145F5" w:rsidRPr="00A03ABF" w:rsidRDefault="006145F5" w:rsidP="006145F5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Poniższe uwagi stanowią ważną integralną część tej karty technicznej:</w:t>
      </w:r>
    </w:p>
    <w:p w:rsidR="006145F5" w:rsidRPr="00A03ABF" w:rsidRDefault="006145F5" w:rsidP="006145F5">
      <w:pPr>
        <w:pStyle w:val="Nagwek2"/>
        <w:spacing w:before="51"/>
        <w:ind w:firstLine="700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 xml:space="preserve">- Kończą się ogólne uwagi na temat zastosowania </w:t>
      </w:r>
      <w:r w:rsidR="00F11586">
        <w:rPr>
          <w:sz w:val="22"/>
          <w:szCs w:val="22"/>
          <w:lang w:val="pl-PL"/>
        </w:rPr>
        <w:t>Płynu czyszczącego do podłóg olejowanych</w:t>
      </w:r>
      <w:r w:rsidRPr="00A03ABF">
        <w:rPr>
          <w:sz w:val="22"/>
          <w:szCs w:val="22"/>
          <w:lang w:val="pl-PL"/>
        </w:rPr>
        <w:t>.</w:t>
      </w:r>
    </w:p>
    <w:p w:rsidR="006145F5" w:rsidRPr="00A03ABF" w:rsidRDefault="006145F5" w:rsidP="006145F5">
      <w:pPr>
        <w:pStyle w:val="Nagwek2"/>
        <w:tabs>
          <w:tab w:val="left" w:pos="8038"/>
        </w:tabs>
        <w:spacing w:before="51"/>
        <w:ind w:firstLine="700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- Karta charakterystyki dostępna na żądanie.</w:t>
      </w:r>
      <w:r>
        <w:rPr>
          <w:sz w:val="22"/>
          <w:szCs w:val="22"/>
          <w:lang w:val="pl-PL"/>
        </w:rPr>
        <w:tab/>
      </w:r>
    </w:p>
    <w:p w:rsidR="006145F5" w:rsidRDefault="006145F5" w:rsidP="006145F5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Informacje o produkcie w zaktualizowanej formie są dostępne na naszej stronie internetowej             www.dr-schutz.com lub na żądanie.</w:t>
      </w:r>
    </w:p>
    <w:p w:rsidR="006145F5" w:rsidRPr="00A03ABF" w:rsidRDefault="006145F5" w:rsidP="006145F5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3F08D5" w:rsidP="00DF21BE">
      <w:pPr>
        <w:pStyle w:val="Tekstpodstawowy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F11586" w:rsidRDefault="00F11586" w:rsidP="00DF21BE">
      <w:pPr>
        <w:pStyle w:val="Tekstpodstawowy"/>
        <w:jc w:val="both"/>
        <w:rPr>
          <w:lang w:val="pl-PL"/>
        </w:rPr>
      </w:pPr>
    </w:p>
    <w:p w:rsidR="00F11586" w:rsidRDefault="00F11586" w:rsidP="00DF21BE">
      <w:pPr>
        <w:pStyle w:val="Tekstpodstawowy"/>
        <w:jc w:val="both"/>
        <w:rPr>
          <w:lang w:val="pl-PL"/>
        </w:rPr>
      </w:pPr>
    </w:p>
    <w:p w:rsidR="00F11586" w:rsidRDefault="00F11586" w:rsidP="00DF21BE">
      <w:pPr>
        <w:pStyle w:val="Tekstpodstawowy"/>
        <w:jc w:val="both"/>
        <w:rPr>
          <w:lang w:val="pl-PL"/>
        </w:rPr>
      </w:pPr>
    </w:p>
    <w:p w:rsidR="00F11586" w:rsidRDefault="00F11586" w:rsidP="00DF21BE">
      <w:pPr>
        <w:pStyle w:val="Tekstpodstawowy"/>
        <w:jc w:val="both"/>
        <w:rPr>
          <w:lang w:val="pl-PL"/>
        </w:rPr>
      </w:pPr>
    </w:p>
    <w:p w:rsidR="00F11586" w:rsidRDefault="00F11586" w:rsidP="00DF21BE">
      <w:pPr>
        <w:pStyle w:val="Tekstpodstawowy"/>
        <w:jc w:val="both"/>
        <w:rPr>
          <w:lang w:val="pl-PL"/>
        </w:rPr>
      </w:pPr>
    </w:p>
    <w:p w:rsidR="00F11586" w:rsidRDefault="00F11586" w:rsidP="00DF21BE">
      <w:pPr>
        <w:pStyle w:val="Tekstpodstawowy"/>
        <w:jc w:val="both"/>
        <w:rPr>
          <w:lang w:val="pl-PL"/>
        </w:rPr>
      </w:pPr>
    </w:p>
    <w:p w:rsidR="00F11586" w:rsidRDefault="00F11586" w:rsidP="00DF21BE">
      <w:pPr>
        <w:pStyle w:val="Tekstpodstawowy"/>
        <w:jc w:val="both"/>
        <w:rPr>
          <w:lang w:val="pl-PL"/>
        </w:rPr>
      </w:pPr>
    </w:p>
    <w:p w:rsidR="00F11586" w:rsidRDefault="00F11586" w:rsidP="00DF21BE">
      <w:pPr>
        <w:pStyle w:val="Tekstpodstawowy"/>
        <w:jc w:val="both"/>
        <w:rPr>
          <w:lang w:val="pl-PL"/>
        </w:rPr>
      </w:pPr>
    </w:p>
    <w:p w:rsidR="00F11586" w:rsidRDefault="00F11586" w:rsidP="00DF21BE">
      <w:pPr>
        <w:pStyle w:val="Tekstpodstawowy"/>
        <w:jc w:val="both"/>
        <w:rPr>
          <w:lang w:val="pl-PL"/>
        </w:rPr>
      </w:pPr>
    </w:p>
    <w:p w:rsidR="00F11586" w:rsidRDefault="00F11586" w:rsidP="00DF21BE">
      <w:pPr>
        <w:pStyle w:val="Tekstpodstawowy"/>
        <w:jc w:val="both"/>
        <w:rPr>
          <w:lang w:val="pl-PL"/>
        </w:rPr>
      </w:pPr>
    </w:p>
    <w:p w:rsidR="00F11586" w:rsidRDefault="00F11586" w:rsidP="00DF21BE">
      <w:pPr>
        <w:pStyle w:val="Tekstpodstawowy"/>
        <w:jc w:val="both"/>
        <w:rPr>
          <w:lang w:val="pl-PL"/>
        </w:rPr>
      </w:pPr>
    </w:p>
    <w:p w:rsidR="00F11586" w:rsidRDefault="00F11586" w:rsidP="00DF21BE">
      <w:pPr>
        <w:pStyle w:val="Tekstpodstawowy"/>
        <w:jc w:val="both"/>
        <w:rPr>
          <w:lang w:val="pl-PL"/>
        </w:rPr>
      </w:pPr>
    </w:p>
    <w:p w:rsidR="00261ED7" w:rsidRDefault="00261ED7" w:rsidP="00DF21BE">
      <w:pPr>
        <w:pStyle w:val="Tekstpodstawowy"/>
        <w:jc w:val="both"/>
        <w:rPr>
          <w:lang w:val="pl-PL"/>
        </w:rPr>
      </w:pPr>
    </w:p>
    <w:p w:rsidR="00F11586" w:rsidRPr="00DF21BE" w:rsidRDefault="00F11586" w:rsidP="00DF21BE">
      <w:pPr>
        <w:pStyle w:val="Tekstpodstawowy"/>
        <w:jc w:val="both"/>
        <w:rPr>
          <w:lang w:val="pl-PL"/>
        </w:rPr>
      </w:pPr>
    </w:p>
    <w:p w:rsidR="00CA758E" w:rsidRPr="004C2970" w:rsidRDefault="00D07F7C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 xml:space="preserve">Dr. Schutz </w:t>
      </w:r>
      <w:r w:rsidR="00080F77" w:rsidRPr="004C2970">
        <w:rPr>
          <w:color w:val="A6A6A6" w:themeColor="background1" w:themeShade="A6"/>
          <w:lang w:val="pl-PL"/>
        </w:rPr>
        <w:t>Polska Sp. Z o.o.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Dr. Schutz GmbH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Ul. Dekoracyjna 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Holbeinstraße 17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65-722  Zielona</w:t>
      </w:r>
      <w:r w:rsidR="00BB642B">
        <w:rPr>
          <w:color w:val="A6A6A6" w:themeColor="background1" w:themeShade="A6"/>
          <w:lang w:val="pl-PL"/>
        </w:rPr>
        <w:t xml:space="preserve"> </w:t>
      </w:r>
      <w:r w:rsidRPr="004C2970">
        <w:rPr>
          <w:color w:val="A6A6A6" w:themeColor="background1" w:themeShade="A6"/>
          <w:lang w:val="pl-PL"/>
        </w:rPr>
        <w:t>Góra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D-53175 Bonn</w:t>
      </w:r>
    </w:p>
    <w:p w:rsidR="002A455B" w:rsidRPr="004C2970" w:rsidRDefault="002A455B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+48 535 500</w:t>
      </w:r>
      <w:r w:rsidR="00576A31" w:rsidRPr="004C2970">
        <w:rPr>
          <w:color w:val="A6A6A6" w:themeColor="background1" w:themeShade="A6"/>
          <w:lang w:val="pl-PL"/>
        </w:rPr>
        <w:t> </w:t>
      </w:r>
      <w:r w:rsidRPr="004C2970">
        <w:rPr>
          <w:color w:val="A6A6A6" w:themeColor="background1" w:themeShade="A6"/>
          <w:lang w:val="pl-PL"/>
        </w:rPr>
        <w:t>483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Tel.: +49 (0)228 / 95 35 2-40</w:t>
      </w:r>
    </w:p>
    <w:p w:rsidR="008254D6" w:rsidRPr="004C2970" w:rsidRDefault="003862FF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hyperlink r:id="rId10" w:history="1">
        <w:r w:rsidR="00576A31" w:rsidRPr="004C2970">
          <w:rPr>
            <w:rStyle w:val="Hipercze"/>
            <w:lang w:val="pl-PL"/>
          </w:rPr>
          <w:t>andrzej.zabiega@dr-schutz.eu</w:t>
        </w:r>
      </w:hyperlink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>Fax: +49 (0)228 / 95 35 2-46</w:t>
      </w:r>
    </w:p>
    <w:p w:rsidR="00721E98" w:rsidRPr="004C2970" w:rsidRDefault="00DF21BE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r w:rsidRPr="00DF21BE">
        <w:rPr>
          <w:color w:val="BFBFBF" w:themeColor="background1" w:themeShade="BF"/>
          <w:sz w:val="16"/>
          <w:szCs w:val="16"/>
          <w:lang w:val="pl-PL"/>
        </w:rPr>
        <w:t>KRS 0000576980, Sąd Rejonowy dla m.st. Warszawy w Warszawie,</w:t>
      </w:r>
      <w:r>
        <w:rPr>
          <w:color w:val="BFBFBF" w:themeColor="background1" w:themeShade="BF"/>
          <w:lang w:val="pl-PL"/>
        </w:rPr>
        <w:tab/>
      </w:r>
      <w:r>
        <w:rPr>
          <w:color w:val="BFBFBF" w:themeColor="background1" w:themeShade="BF"/>
          <w:lang w:val="pl-PL"/>
        </w:rPr>
        <w:tab/>
      </w:r>
      <w:r>
        <w:rPr>
          <w:color w:val="BFBFBF" w:themeColor="background1" w:themeShade="BF"/>
          <w:lang w:val="pl-PL"/>
        </w:rPr>
        <w:tab/>
      </w:r>
      <w:r>
        <w:rPr>
          <w:color w:val="BFBFBF" w:themeColor="background1" w:themeShade="BF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>E-Mail:</w:t>
      </w:r>
      <w:hyperlink r:id="rId11" w:history="1">
        <w:r w:rsidR="00576A31" w:rsidRPr="004C2970">
          <w:rPr>
            <w:rStyle w:val="Hipercze"/>
            <w:lang w:val="pl-PL"/>
          </w:rPr>
          <w:t>export@dr-schutz.com</w:t>
        </w:r>
      </w:hyperlink>
    </w:p>
    <w:p w:rsidR="00576A31" w:rsidRPr="004C2970" w:rsidRDefault="00DF21BE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DF21BE">
        <w:rPr>
          <w:color w:val="BFBFBF" w:themeColor="background1" w:themeShade="BF"/>
          <w:sz w:val="16"/>
          <w:szCs w:val="16"/>
          <w:lang w:val="pl-PL"/>
        </w:rPr>
        <w:t>XII Wydział Gospodarczy Krajowego Rejestru Sądowego</w:t>
      </w:r>
      <w:r>
        <w:rPr>
          <w:color w:val="BFBFBF" w:themeColor="background1" w:themeShade="BF"/>
          <w:lang w:val="pl-PL"/>
        </w:rPr>
        <w:tab/>
      </w:r>
      <w:r>
        <w:rPr>
          <w:color w:val="BFBFBF" w:themeColor="background1" w:themeShade="BF"/>
          <w:lang w:val="pl-PL"/>
        </w:rPr>
        <w:tab/>
      </w:r>
      <w:r>
        <w:rPr>
          <w:color w:val="BFBFBF" w:themeColor="background1" w:themeShade="BF"/>
          <w:lang w:val="pl-PL"/>
        </w:rPr>
        <w:tab/>
      </w:r>
      <w:r>
        <w:rPr>
          <w:color w:val="BFBFBF" w:themeColor="background1" w:themeShade="BF"/>
          <w:lang w:val="pl-PL"/>
        </w:rPr>
        <w:tab/>
      </w:r>
      <w:r>
        <w:rPr>
          <w:color w:val="BFBFBF" w:themeColor="background1" w:themeShade="BF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>www.dr-schutz.com</w:t>
      </w:r>
    </w:p>
    <w:p w:rsidR="00A17E03" w:rsidRPr="00DF21BE" w:rsidRDefault="00DF21BE" w:rsidP="00721E98">
      <w:pPr>
        <w:pStyle w:val="Nagwek2"/>
        <w:spacing w:before="51"/>
        <w:ind w:left="280"/>
        <w:rPr>
          <w:color w:val="808080" w:themeColor="background1" w:themeShade="80"/>
          <w:sz w:val="16"/>
          <w:szCs w:val="16"/>
          <w:lang w:val="pl-PL"/>
        </w:rPr>
      </w:pPr>
      <w:r w:rsidRPr="00DF21BE">
        <w:rPr>
          <w:color w:val="BFBFBF" w:themeColor="background1" w:themeShade="BF"/>
          <w:sz w:val="16"/>
          <w:szCs w:val="16"/>
          <w:lang w:val="pl-PL"/>
        </w:rPr>
        <w:t>NIP 527-274-55-73, REGON 362590538</w:t>
      </w:r>
    </w:p>
    <w:p w:rsidR="00DF21BE" w:rsidRDefault="00DF21BE" w:rsidP="00982C48">
      <w:pPr>
        <w:spacing w:before="68"/>
        <w:ind w:left="280"/>
        <w:jc w:val="both"/>
        <w:rPr>
          <w:color w:val="A6A6A6" w:themeColor="background1" w:themeShade="A6"/>
          <w:sz w:val="16"/>
          <w:szCs w:val="16"/>
          <w:lang w:val="pl-PL"/>
        </w:rPr>
      </w:pPr>
      <w:r w:rsidRPr="00DF21BE">
        <w:rPr>
          <w:color w:val="BFBFBF" w:themeColor="background1" w:themeShade="BF"/>
          <w:sz w:val="16"/>
          <w:szCs w:val="16"/>
          <w:lang w:val="pl-PL"/>
        </w:rPr>
        <w:t>kapitał zakładowy 5.000 PLN</w:t>
      </w:r>
      <w:r w:rsidRPr="00DF21BE">
        <w:rPr>
          <w:color w:val="A6A6A6" w:themeColor="background1" w:themeShade="A6"/>
          <w:sz w:val="16"/>
          <w:szCs w:val="16"/>
          <w:lang w:val="pl-PL"/>
        </w:rPr>
        <w:t xml:space="preserve"> </w:t>
      </w:r>
    </w:p>
    <w:p w:rsidR="00DF21BE" w:rsidRPr="00DF21BE" w:rsidRDefault="00DF21BE" w:rsidP="00982C48">
      <w:pPr>
        <w:spacing w:before="68"/>
        <w:ind w:left="280"/>
        <w:jc w:val="both"/>
        <w:rPr>
          <w:color w:val="A6A6A6" w:themeColor="background1" w:themeShade="A6"/>
          <w:sz w:val="16"/>
          <w:szCs w:val="16"/>
          <w:lang w:val="pl-PL"/>
        </w:rPr>
      </w:pPr>
    </w:p>
    <w:p w:rsidR="00261ED7" w:rsidRPr="00261ED7" w:rsidRDefault="00261ED7" w:rsidP="00261ED7">
      <w:pPr>
        <w:jc w:val="both"/>
        <w:rPr>
          <w:color w:val="BFBFBF" w:themeColor="background1" w:themeShade="BF"/>
          <w:sz w:val="16"/>
          <w:szCs w:val="16"/>
        </w:rPr>
      </w:pPr>
      <w:r w:rsidRPr="00261ED7">
        <w:rPr>
          <w:color w:val="BFBFBF" w:themeColor="background1" w:themeShade="BF"/>
          <w:sz w:val="16"/>
          <w:szCs w:val="16"/>
        </w:rPr>
        <w:t xml:space="preserve">Powyższe informacje i dane techniczne są zgodne z aktualnym stanem wiedzy i z najnowszą technologią. Dlatego też, niemożliwe jest uszkodzenie podłóg podczas używania naszych produktów postępując zgodnie z podanymi instrukcjami stosowania i </w:t>
      </w:r>
      <w:bookmarkStart w:id="0" w:name="_GoBack"/>
      <w:bookmarkEnd w:id="0"/>
      <w:r w:rsidRPr="00261ED7">
        <w:rPr>
          <w:color w:val="BFBFBF" w:themeColor="background1" w:themeShade="BF"/>
          <w:sz w:val="16"/>
          <w:szCs w:val="16"/>
        </w:rPr>
        <w:t xml:space="preserve">naszego proponowanego podejścia do tych produktów. Jednakże, zastosowanie naszych produktów jest poza naszą kontrolą, na własną odpowiedzialność stosującego i nie zwalnia stosującego od testowania produktów dostarczonych przez nas odpowiednio do zamierzonych procesów i celów. Nasze informacje i rady nie są wiążące i w związku z tym - w odniesieniu do wszelkich praw osób trzecich - nie mogą być powołane jako podstawa odpowiedzialności przeciwko nam. Należy przestrzegać obowiązujących zaleceń, wytycznych i norm, jak również uznanych przepisów technicznych. Informacje zawarte w tej publikacji są jedyne aktualne, a wersje poprzednie tracą ważność. </w:t>
      </w:r>
    </w:p>
    <w:p w:rsidR="004127D9" w:rsidRPr="00982C48" w:rsidRDefault="004127D9" w:rsidP="00261ED7">
      <w:pPr>
        <w:spacing w:before="68"/>
        <w:ind w:left="280"/>
        <w:jc w:val="both"/>
        <w:rPr>
          <w:color w:val="A6A6A6" w:themeColor="background1" w:themeShade="A6"/>
          <w:sz w:val="16"/>
          <w:szCs w:val="16"/>
        </w:rPr>
      </w:pPr>
    </w:p>
    <w:sectPr w:rsidR="004127D9" w:rsidRPr="00982C48" w:rsidSect="00DF21BE">
      <w:headerReference w:type="default" r:id="rId12"/>
      <w:footerReference w:type="default" r:id="rId13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44" w:rsidRDefault="002D4344">
      <w:r>
        <w:separator/>
      </w:r>
    </w:p>
  </w:endnote>
  <w:endnote w:type="continuationSeparator" w:id="0">
    <w:p w:rsidR="002D4344" w:rsidRDefault="002D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D8" w:rsidRDefault="003862FF">
    <w:pPr>
      <w:pStyle w:val="Tekstpodstawowy"/>
      <w:spacing w:line="14" w:lineRule="auto"/>
    </w:pPr>
    <w:r w:rsidRPr="003862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pt;margin-top:793.15pt;width:60.3pt;height:12pt;z-index:-5128;mso-position-horizontal-relative:page;mso-position-vertical-relative:page" filled="f" stroked="f">
          <v:textbox style="mso-next-textbox:#_x0000_s2049" inset="0,0,0,0">
            <w:txbxContent>
              <w:p w:rsidR="00CA758E" w:rsidRDefault="00721E98">
                <w:pPr>
                  <w:pStyle w:val="Tekstpodstawowy"/>
                  <w:spacing w:line="223" w:lineRule="exact"/>
                  <w:ind w:left="20"/>
                </w:pPr>
                <w:r>
                  <w:rPr>
                    <w:color w:val="667075"/>
                  </w:rPr>
                  <w:t>Strona</w:t>
                </w:r>
                <w:r w:rsidR="006145F5">
                  <w:rPr>
                    <w:color w:val="667075"/>
                  </w:rPr>
                  <w:t xml:space="preserve"> </w:t>
                </w:r>
                <w:r w:rsidR="003862FF">
                  <w:fldChar w:fldCharType="begin"/>
                </w:r>
                <w:r w:rsidR="00D07F7C">
                  <w:rPr>
                    <w:color w:val="667075"/>
                  </w:rPr>
                  <w:instrText xml:space="preserve"> PAGE </w:instrText>
                </w:r>
                <w:r w:rsidR="003862FF">
                  <w:fldChar w:fldCharType="separate"/>
                </w:r>
                <w:r w:rsidR="00E7255A">
                  <w:rPr>
                    <w:noProof/>
                    <w:color w:val="667075"/>
                  </w:rPr>
                  <w:t>2</w:t>
                </w:r>
                <w:r w:rsidR="003862FF">
                  <w:fldChar w:fldCharType="end"/>
                </w:r>
                <w:r w:rsidR="00650038">
                  <w:rPr>
                    <w:color w:val="667075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  <w:p w:rsidR="00CA758E" w:rsidRDefault="00D07F7C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44" w:rsidRDefault="002D4344">
      <w:r>
        <w:separator/>
      </w:r>
    </w:p>
  </w:footnote>
  <w:footnote w:type="continuationSeparator" w:id="0">
    <w:p w:rsidR="002D4344" w:rsidRDefault="002D4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8E" w:rsidRDefault="00CC1980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231" behindDoc="1" locked="0" layoutInCell="1" allowOverlap="1">
          <wp:simplePos x="0" y="0"/>
          <wp:positionH relativeFrom="page">
            <wp:posOffset>4926132</wp:posOffset>
          </wp:positionH>
          <wp:positionV relativeFrom="page">
            <wp:posOffset>1191643</wp:posOffset>
          </wp:positionV>
          <wp:extent cx="2140585" cy="862506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862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2FF" w:rsidRPr="003862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85pt;margin-top:115.1pt;width:169.35pt;height:48.95pt;z-index:-5176;mso-position-horizontal-relative:page;mso-position-vertical-relative:page" filled="f" stroked="f">
          <v:textbox style="mso-next-textbox:#_x0000_s2050" inset="0,0,0,0">
            <w:txbxContent>
              <w:p w:rsidR="00CA758E" w:rsidRDefault="00FF48A6" w:rsidP="00CC1980">
                <w:pPr>
                  <w:spacing w:line="428" w:lineRule="exact"/>
                  <w:ind w:left="20"/>
                  <w:jc w:val="center"/>
                  <w:rPr>
                    <w:b/>
                    <w:color w:val="005293"/>
                    <w:sz w:val="24"/>
                    <w:szCs w:val="24"/>
                    <w:lang w:val="pl-PL"/>
                  </w:rPr>
                </w:pPr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>PŁYN CZYSZCZĄCY DO PODŁÓG OLEJOWANYCH</w:t>
                </w:r>
              </w:p>
              <w:p w:rsidR="006145F5" w:rsidRPr="00BE3613" w:rsidRDefault="006145F5" w:rsidP="006145F5">
                <w:pPr>
                  <w:spacing w:line="428" w:lineRule="exact"/>
                  <w:rPr>
                    <w:b/>
                    <w:sz w:val="24"/>
                    <w:szCs w:val="24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="003862FF" w:rsidRPr="003862FF">
      <w:pict>
        <v:group id="_x0000_s2057" style="position:absolute;margin-left:0;margin-top:0;width:169.85pt;height:56.35pt;z-index:-5296;mso-position-horizontal-relative:page;mso-position-vertical-relative:page" coordsize="3397,1127">
          <v:rect id="_x0000_s2059" style="position:absolute;width:3397;height:1127" fillcolor="#176ec0" stroked="f"/>
          <v:shape id="_x0000_s2058" style="position:absolute;left:732;top:424;width:1927;height:259" coordorigin="732,425" coordsize="1927,259" o:spt="100" adj="0,,0" path="m2622,467r-15,3l2595,477r-8,12l2585,504r2,14l2595,529r12,8l2622,540r14,-3l2643,532r-21,l2611,530r-9,-6l2596,515r-2,-11l2596,492r6,-9l2611,477r11,-2l2643,475r-7,-5l2622,467xm2643,475r-6,l2649,487r,32l2637,532r6,l2648,529r7,-11l2658,504r-3,-15l2648,477r-5,-2xm2631,485r-24,l2607,522r9,l2616,508r20,l2634,505r-4,-1l2634,504r1,-2l2616,502r,-11l2637,491r-1,-3l2634,487r-3,-2xm2636,508r-11,l2627,510r,3l2628,517r2,3l2630,522r9,l2639,520r-2,-1l2637,513r-1,-5xm2637,491r-10,l2628,493r,8l2625,502r10,l2637,499r,-8xm2057,473r-80,l1977,607r8,37l2007,667r35,11l2087,681r40,-2l2162,669r25,-23l2191,631r-104,l2073,629r-9,-6l2059,613r-2,-15l2057,473xm2197,473r-80,l2117,598r-2,15l2109,623r-9,6l2087,631r104,l2197,607r,-134xm848,435r-116,l732,675r137,l915,667r33,-24l961,617r-149,l812,504r157,l966,491,956,471,941,455r-16,-9l904,440r-25,-4l848,435xm969,504r-129,l866,506r16,9l891,531r2,26l892,578r-7,20l870,612r-27,5l961,617r7,-13l974,549r-2,-32l969,504xm1293,624r,51l1320,678r25,3l1369,682r23,1l1436,680r31,-11l1485,645r3,-17l1374,628r-30,l1321,626r-17,-1l1293,624xm1388,429r-42,3l1313,443r-21,23l1284,505r5,42l1304,570r23,9l1356,581r44,l1409,586r,19l1405,619r-8,6l1385,628r-11,l1488,628r4,-23l1487,571r-14,-20l1444,542r-46,-2l1383,540r-18,-3l1365,519r4,-13l1379,499r13,-4l1409,495r75,l1484,437r-18,-3l1443,432r-28,-2l1388,429xm1484,495r-75,l1426,495r16,1l1470,499r14,2l1484,495xm1631,469r-54,5l1541,492r-19,33l1516,575r5,48l1540,657r31,19l1618,683r22,-1l1662,678r21,-5l1702,666r,-41l1646,625r-19,-1l1611,618r-12,-13l1595,583r5,-24l1612,546r17,-6l1649,539r53,l1702,482r-15,-5l1669,473r-19,-3l1631,469xm1702,617r-14,4l1674,624r-14,1l1646,625r56,l1702,617xm1702,539r-53,l1664,539r14,2l1691,543r11,3l1702,539xm1809,425r-80,l1729,675r80,l1809,564r2,-13l1817,541r11,-6l1842,532r107,l1949,523r-3,-13l1809,510r,-85xm1949,532r-89,l1869,543r,132l1949,675r,-143xm1881,469r-24,2l1836,480r-17,12l1809,510r137,l1944,499r-12,-17l1911,472r-30,-3xm2303,432r-42,l2224,484r,152l2227,658r11,14l2259,680r32,3l2311,682r19,-2l2346,678r13,-3l2360,634r-43,l2303,633r,-94l2364,539r,-64l2303,475r,-43xm2360,633r-6,1l2360,634r,-1xm2568,475r-179,l2389,539r98,l2389,628r,47l2568,675r,-53l2473,622r95,-86l2568,475xm1074,475r-74,l1000,675r80,l1080,598r4,-23l1098,559r20,-10l1144,546r,-45l1074,501r,-26xm1180,621r-70,l1110,675r70,l1180,621xm1144,469r-16,l1104,474r-17,11l1077,496r-3,5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3862FF" w:rsidRPr="003862FF">
      <w:pict>
        <v:rect id="_x0000_s2056" style="position:absolute;margin-left:578.7pt;margin-top:0;width:16.25pt;height:164.7pt;z-index:-5272;mso-position-horizontal-relative:page;mso-position-vertical-relative:page" fillcolor="#005293" stroked="f">
          <w10:wrap anchorx="page" anchory="page"/>
        </v:rect>
      </w:pict>
    </w:r>
    <w:r w:rsidR="003862FF" w:rsidRPr="003862FF">
      <w:pict>
        <v:shape id="_x0000_s2051" type="#_x0000_t202" style="position:absolute;margin-left:434.6pt;margin-top:36.1pt;width:125.35pt;height:24.05pt;z-index:-5200;mso-position-horizontal-relative:page;mso-position-vertical-relative:page" filled="f" stroked="f">
          <v:textbox style="mso-next-textbox:#_x0000_s2051" inset="0,0,0,0">
            <w:txbxContent>
              <w:p w:rsidR="00CA758E" w:rsidRPr="00B01269" w:rsidRDefault="00B60BD8" w:rsidP="00B0126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>Karta techniczna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1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abstractNum w:abstractNumId="2">
    <w:nsid w:val="792B3420"/>
    <w:multiLevelType w:val="hybridMultilevel"/>
    <w:tmpl w:val="D50A9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A758E"/>
    <w:rsid w:val="000219D0"/>
    <w:rsid w:val="000240B5"/>
    <w:rsid w:val="00027134"/>
    <w:rsid w:val="00032F47"/>
    <w:rsid w:val="00040E14"/>
    <w:rsid w:val="00054527"/>
    <w:rsid w:val="00064954"/>
    <w:rsid w:val="00080F77"/>
    <w:rsid w:val="00082B29"/>
    <w:rsid w:val="000C1F5D"/>
    <w:rsid w:val="000C5FAC"/>
    <w:rsid w:val="000D0333"/>
    <w:rsid w:val="000F1158"/>
    <w:rsid w:val="000F501D"/>
    <w:rsid w:val="000F77D8"/>
    <w:rsid w:val="001054E3"/>
    <w:rsid w:val="00131C28"/>
    <w:rsid w:val="0013370B"/>
    <w:rsid w:val="00151081"/>
    <w:rsid w:val="00163478"/>
    <w:rsid w:val="00177151"/>
    <w:rsid w:val="001B4269"/>
    <w:rsid w:val="00243878"/>
    <w:rsid w:val="00261ED7"/>
    <w:rsid w:val="00267E34"/>
    <w:rsid w:val="00283BF7"/>
    <w:rsid w:val="002901AC"/>
    <w:rsid w:val="00295290"/>
    <w:rsid w:val="002A455B"/>
    <w:rsid w:val="002B0D34"/>
    <w:rsid w:val="002D4344"/>
    <w:rsid w:val="002E3CF4"/>
    <w:rsid w:val="0030642D"/>
    <w:rsid w:val="0030749E"/>
    <w:rsid w:val="00337083"/>
    <w:rsid w:val="0034363F"/>
    <w:rsid w:val="0034595B"/>
    <w:rsid w:val="00364DC2"/>
    <w:rsid w:val="003862FF"/>
    <w:rsid w:val="003877E5"/>
    <w:rsid w:val="003902F3"/>
    <w:rsid w:val="003A03B5"/>
    <w:rsid w:val="003C75AD"/>
    <w:rsid w:val="003D348B"/>
    <w:rsid w:val="003E2F01"/>
    <w:rsid w:val="003E35AE"/>
    <w:rsid w:val="003F08D5"/>
    <w:rsid w:val="004127D9"/>
    <w:rsid w:val="00420D00"/>
    <w:rsid w:val="00460822"/>
    <w:rsid w:val="004936C6"/>
    <w:rsid w:val="004B675B"/>
    <w:rsid w:val="004C2970"/>
    <w:rsid w:val="004F0097"/>
    <w:rsid w:val="004F5735"/>
    <w:rsid w:val="00517443"/>
    <w:rsid w:val="0052222C"/>
    <w:rsid w:val="00547D19"/>
    <w:rsid w:val="0056699A"/>
    <w:rsid w:val="00574DBB"/>
    <w:rsid w:val="00575502"/>
    <w:rsid w:val="00576A31"/>
    <w:rsid w:val="005857E4"/>
    <w:rsid w:val="005A6D8F"/>
    <w:rsid w:val="005D1FCE"/>
    <w:rsid w:val="005E3FA5"/>
    <w:rsid w:val="00614323"/>
    <w:rsid w:val="006145F5"/>
    <w:rsid w:val="00624170"/>
    <w:rsid w:val="00627B0D"/>
    <w:rsid w:val="00650038"/>
    <w:rsid w:val="00650634"/>
    <w:rsid w:val="00683643"/>
    <w:rsid w:val="006A7A95"/>
    <w:rsid w:val="006C1D93"/>
    <w:rsid w:val="00701047"/>
    <w:rsid w:val="00715569"/>
    <w:rsid w:val="00721E98"/>
    <w:rsid w:val="00723F65"/>
    <w:rsid w:val="007E5BD3"/>
    <w:rsid w:val="00803449"/>
    <w:rsid w:val="0080457B"/>
    <w:rsid w:val="008254D6"/>
    <w:rsid w:val="0085780F"/>
    <w:rsid w:val="00896DE3"/>
    <w:rsid w:val="0089759C"/>
    <w:rsid w:val="008B279C"/>
    <w:rsid w:val="008B45F3"/>
    <w:rsid w:val="008F50C4"/>
    <w:rsid w:val="00982C48"/>
    <w:rsid w:val="009900A6"/>
    <w:rsid w:val="009E3059"/>
    <w:rsid w:val="009E416B"/>
    <w:rsid w:val="00A17E03"/>
    <w:rsid w:val="00A2706B"/>
    <w:rsid w:val="00A307B4"/>
    <w:rsid w:val="00A5379F"/>
    <w:rsid w:val="00A71247"/>
    <w:rsid w:val="00A83DD6"/>
    <w:rsid w:val="00A96027"/>
    <w:rsid w:val="00AC7E36"/>
    <w:rsid w:val="00AC7F31"/>
    <w:rsid w:val="00AD3DD3"/>
    <w:rsid w:val="00B01269"/>
    <w:rsid w:val="00B352EB"/>
    <w:rsid w:val="00B60BD8"/>
    <w:rsid w:val="00B90340"/>
    <w:rsid w:val="00B92940"/>
    <w:rsid w:val="00BB642B"/>
    <w:rsid w:val="00BE3613"/>
    <w:rsid w:val="00C01E54"/>
    <w:rsid w:val="00C10ED2"/>
    <w:rsid w:val="00C147E5"/>
    <w:rsid w:val="00C20F24"/>
    <w:rsid w:val="00C557DF"/>
    <w:rsid w:val="00CA758E"/>
    <w:rsid w:val="00CB2623"/>
    <w:rsid w:val="00CB56D2"/>
    <w:rsid w:val="00CC1980"/>
    <w:rsid w:val="00CC5FBB"/>
    <w:rsid w:val="00CE3C9B"/>
    <w:rsid w:val="00CF3CD7"/>
    <w:rsid w:val="00D07F7C"/>
    <w:rsid w:val="00D12B29"/>
    <w:rsid w:val="00D44BDF"/>
    <w:rsid w:val="00D52166"/>
    <w:rsid w:val="00DA14B1"/>
    <w:rsid w:val="00DB222A"/>
    <w:rsid w:val="00DD437F"/>
    <w:rsid w:val="00DE0236"/>
    <w:rsid w:val="00DE46D9"/>
    <w:rsid w:val="00DE6C24"/>
    <w:rsid w:val="00DF0385"/>
    <w:rsid w:val="00DF21BE"/>
    <w:rsid w:val="00DF3016"/>
    <w:rsid w:val="00E037E8"/>
    <w:rsid w:val="00E04802"/>
    <w:rsid w:val="00E16A90"/>
    <w:rsid w:val="00E45B51"/>
    <w:rsid w:val="00E52C22"/>
    <w:rsid w:val="00E6490E"/>
    <w:rsid w:val="00E7255A"/>
    <w:rsid w:val="00E76093"/>
    <w:rsid w:val="00E91E33"/>
    <w:rsid w:val="00E97E4D"/>
    <w:rsid w:val="00EB4A0C"/>
    <w:rsid w:val="00EB79AF"/>
    <w:rsid w:val="00ED02BC"/>
    <w:rsid w:val="00F11586"/>
    <w:rsid w:val="00F53363"/>
    <w:rsid w:val="00F64C49"/>
    <w:rsid w:val="00F65053"/>
    <w:rsid w:val="00FB6F6F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0E14"/>
    <w:rPr>
      <w:rFonts w:ascii="Calibri" w:eastAsia="Calibri" w:hAnsi="Calibri" w:cs="Calibr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port@dr-schut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zej.zabiega@dr-schutz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-schutz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26F3-D64A-4360-AAEC-16A32383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Andrzej</cp:lastModifiedBy>
  <cp:revision>2</cp:revision>
  <dcterms:created xsi:type="dcterms:W3CDTF">2019-03-11T20:03:00Z</dcterms:created>
  <dcterms:modified xsi:type="dcterms:W3CDTF">2019-03-11T20:03:00Z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